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rPr>
          <w:rFonts w:ascii="仿宋" w:hAnsi="仿宋" w:eastAsia="仿宋"/>
          <w:sz w:val="32"/>
          <w:szCs w:val="32"/>
        </w:rPr>
      </w:pPr>
      <w:bookmarkStart w:id="0" w:name="_GoBack"/>
      <w:bookmarkEnd w:id="0"/>
    </w:p>
    <w:p>
      <w:pPr>
        <w:pStyle w:val="2"/>
        <w:rPr>
          <w:rFonts w:hint="default"/>
        </w:rPr>
      </w:pPr>
    </w:p>
    <w:p>
      <w:pPr>
        <w:spacing w:line="520" w:lineRule="exact"/>
        <w:rPr>
          <w:rFonts w:ascii="仿宋" w:hAnsi="仿宋" w:eastAsia="仿宋"/>
          <w:sz w:val="32"/>
          <w:szCs w:val="32"/>
        </w:rPr>
      </w:pPr>
    </w:p>
    <w:p>
      <w:pPr>
        <w:spacing w:line="520" w:lineRule="exact"/>
        <w:rPr>
          <w:rFonts w:ascii="仿宋" w:hAnsi="仿宋" w:eastAsia="仿宋"/>
          <w:sz w:val="32"/>
          <w:szCs w:val="32"/>
        </w:rPr>
      </w:pPr>
    </w:p>
    <w:p>
      <w:pPr>
        <w:spacing w:line="520" w:lineRule="exact"/>
        <w:rPr>
          <w:rFonts w:ascii="仿宋" w:hAnsi="仿宋" w:eastAsia="仿宋"/>
          <w:sz w:val="32"/>
          <w:szCs w:val="32"/>
        </w:rPr>
      </w:pPr>
    </w:p>
    <w:p>
      <w:pPr>
        <w:shd w:val="clear" w:color="000000"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宋体" w:hAnsi="宋体" w:cs="宋体"/>
          <w:sz w:val="44"/>
          <w:szCs w:val="44"/>
        </w:rPr>
      </w:pPr>
      <w:r>
        <w:rPr>
          <w:rFonts w:ascii="宋体" w:hAnsi="宋体" w:cs="宋体"/>
          <w:sz w:val="44"/>
          <w:szCs w:val="44"/>
        </w:rPr>
        <w:t>20</w:t>
      </w:r>
      <w:r>
        <w:rPr>
          <w:rFonts w:hint="eastAsia" w:ascii="宋体" w:hAnsi="宋体" w:cs="宋体"/>
          <w:sz w:val="44"/>
          <w:szCs w:val="44"/>
        </w:rPr>
        <w:t>2</w:t>
      </w:r>
      <w:r>
        <w:rPr>
          <w:rFonts w:ascii="宋体" w:hAnsi="宋体" w:cs="宋体"/>
          <w:sz w:val="44"/>
          <w:szCs w:val="44"/>
        </w:rPr>
        <w:t>2年</w:t>
      </w:r>
      <w:r>
        <w:rPr>
          <w:rFonts w:hint="eastAsia" w:ascii="宋体" w:hAnsi="宋体" w:cs="宋体"/>
          <w:sz w:val="44"/>
          <w:szCs w:val="44"/>
        </w:rPr>
        <w:t>度项目支出</w:t>
      </w:r>
      <w:r>
        <w:rPr>
          <w:rFonts w:ascii="宋体" w:hAnsi="宋体" w:cs="宋体"/>
          <w:sz w:val="44"/>
          <w:szCs w:val="44"/>
        </w:rPr>
        <w:t>绩效</w:t>
      </w:r>
      <w:r>
        <w:rPr>
          <w:rFonts w:hint="eastAsia" w:ascii="宋体" w:hAnsi="宋体" w:cs="宋体"/>
          <w:sz w:val="44"/>
          <w:szCs w:val="44"/>
        </w:rPr>
        <w:t>评价</w:t>
      </w:r>
      <w:r>
        <w:rPr>
          <w:rFonts w:ascii="宋体" w:hAnsi="宋体" w:cs="宋体"/>
          <w:sz w:val="44"/>
          <w:szCs w:val="44"/>
        </w:rPr>
        <w:t>报告</w:t>
      </w:r>
    </w:p>
    <w:p>
      <w:pPr>
        <w:spacing w:line="520" w:lineRule="exact"/>
        <w:rPr>
          <w:rFonts w:ascii="仿宋" w:hAnsi="仿宋" w:eastAsia="仿宋"/>
          <w:sz w:val="32"/>
          <w:szCs w:val="32"/>
        </w:rPr>
      </w:pPr>
    </w:p>
    <w:p>
      <w:pPr>
        <w:spacing w:line="520" w:lineRule="exact"/>
        <w:rPr>
          <w:rFonts w:ascii="仿宋" w:hAnsi="仿宋" w:eastAsia="仿宋"/>
          <w:sz w:val="32"/>
          <w:szCs w:val="32"/>
        </w:rPr>
      </w:pPr>
    </w:p>
    <w:p>
      <w:pPr>
        <w:spacing w:line="520" w:lineRule="exact"/>
        <w:rPr>
          <w:rFonts w:ascii="仿宋" w:hAnsi="仿宋" w:eastAsia="仿宋"/>
          <w:sz w:val="32"/>
          <w:szCs w:val="32"/>
        </w:rPr>
      </w:pPr>
    </w:p>
    <w:p>
      <w:pPr>
        <w:spacing w:line="520" w:lineRule="exact"/>
        <w:rPr>
          <w:rFonts w:ascii="仿宋" w:hAnsi="仿宋" w:eastAsia="仿宋"/>
          <w:sz w:val="32"/>
          <w:szCs w:val="32"/>
        </w:rPr>
      </w:pPr>
    </w:p>
    <w:p>
      <w:pPr>
        <w:spacing w:line="520" w:lineRule="exact"/>
        <w:rPr>
          <w:rFonts w:ascii="仿宋" w:hAnsi="仿宋" w:eastAsia="仿宋"/>
          <w:sz w:val="32"/>
          <w:szCs w:val="32"/>
        </w:rPr>
      </w:pPr>
    </w:p>
    <w:p>
      <w:pPr>
        <w:spacing w:line="520" w:lineRule="exact"/>
        <w:rPr>
          <w:rFonts w:ascii="仿宋" w:hAnsi="仿宋" w:eastAsia="仿宋"/>
          <w:sz w:val="32"/>
          <w:szCs w:val="32"/>
        </w:rPr>
      </w:pPr>
    </w:p>
    <w:p>
      <w:pPr>
        <w:spacing w:line="520" w:lineRule="exact"/>
        <w:ind w:firstLine="1760"/>
        <w:rPr>
          <w:rFonts w:ascii="仿宋" w:hAnsi="仿宋" w:eastAsia="仿宋"/>
          <w:sz w:val="32"/>
          <w:szCs w:val="32"/>
        </w:rPr>
      </w:pPr>
    </w:p>
    <w:p>
      <w:pPr>
        <w:spacing w:line="520" w:lineRule="exact"/>
        <w:ind w:firstLine="1760"/>
        <w:rPr>
          <w:rFonts w:ascii="仿宋" w:hAnsi="仿宋" w:eastAsia="仿宋"/>
          <w:sz w:val="32"/>
          <w:szCs w:val="32"/>
        </w:rPr>
      </w:pPr>
    </w:p>
    <w:p>
      <w:pPr>
        <w:spacing w:line="520" w:lineRule="exact"/>
        <w:ind w:firstLine="1760"/>
        <w:rPr>
          <w:rFonts w:ascii="仿宋" w:hAnsi="仿宋" w:eastAsia="仿宋"/>
          <w:sz w:val="32"/>
          <w:szCs w:val="32"/>
        </w:rPr>
      </w:pPr>
    </w:p>
    <w:p>
      <w:pPr>
        <w:spacing w:line="520" w:lineRule="exact"/>
        <w:ind w:firstLine="1760"/>
        <w:rPr>
          <w:rFonts w:ascii="仿宋" w:hAnsi="仿宋" w:eastAsia="仿宋"/>
          <w:sz w:val="32"/>
          <w:szCs w:val="32"/>
        </w:rPr>
      </w:pPr>
    </w:p>
    <w:p>
      <w:pPr>
        <w:spacing w:line="520" w:lineRule="exact"/>
        <w:ind w:firstLine="1760"/>
        <w:rPr>
          <w:rFonts w:ascii="仿宋" w:hAnsi="仿宋" w:eastAsia="仿宋"/>
          <w:sz w:val="32"/>
          <w:szCs w:val="32"/>
        </w:rPr>
      </w:pPr>
    </w:p>
    <w:p>
      <w:pPr>
        <w:spacing w:line="520" w:lineRule="exact"/>
        <w:ind w:firstLine="1760"/>
        <w:rPr>
          <w:rFonts w:ascii="仿宋" w:hAnsi="仿宋" w:eastAsia="仿宋"/>
          <w:sz w:val="32"/>
          <w:szCs w:val="32"/>
        </w:rPr>
      </w:pPr>
    </w:p>
    <w:p>
      <w:pPr>
        <w:spacing w:line="360" w:lineRule="auto"/>
        <w:rPr>
          <w:rFonts w:ascii="仿宋_GB2312" w:eastAsia="仿宋_GB2312"/>
          <w:sz w:val="32"/>
          <w:szCs w:val="32"/>
        </w:rPr>
      </w:pPr>
      <w:r>
        <w:rPr>
          <w:rFonts w:hint="eastAsia" w:ascii="仿宋_GB2312" w:eastAsia="仿宋_GB2312"/>
          <w:sz w:val="32"/>
          <w:szCs w:val="32"/>
        </w:rPr>
        <w:t>项目名称：2022年现代职业教育质量提升计划资金</w:t>
      </w:r>
    </w:p>
    <w:p>
      <w:pPr>
        <w:spacing w:line="360" w:lineRule="auto"/>
        <w:rPr>
          <w:rFonts w:ascii="仿宋_GB2312" w:eastAsia="仿宋_GB2312"/>
          <w:sz w:val="32"/>
          <w:szCs w:val="32"/>
        </w:rPr>
      </w:pPr>
      <w:r>
        <w:rPr>
          <w:rFonts w:hint="eastAsia" w:ascii="仿宋_GB2312" w:eastAsia="仿宋_GB2312"/>
          <w:sz w:val="32"/>
          <w:szCs w:val="32"/>
        </w:rPr>
        <w:t>主管部门（公章）：深圳技师学院</w:t>
      </w:r>
    </w:p>
    <w:p>
      <w:pPr>
        <w:spacing w:line="360" w:lineRule="auto"/>
        <w:rPr>
          <w:rFonts w:ascii="仿宋_GB2312" w:eastAsia="仿宋_GB2312"/>
          <w:sz w:val="32"/>
          <w:szCs w:val="32"/>
        </w:rPr>
      </w:pPr>
      <w:r>
        <w:rPr>
          <w:rFonts w:hint="eastAsia" w:ascii="仿宋_GB2312" w:eastAsia="仿宋_GB2312"/>
          <w:sz w:val="32"/>
          <w:szCs w:val="32"/>
        </w:rPr>
        <w:t>填报人：叶晶</w:t>
      </w:r>
    </w:p>
    <w:p>
      <w:pPr>
        <w:spacing w:line="360" w:lineRule="auto"/>
        <w:rPr>
          <w:rFonts w:ascii="仿宋_GB2312" w:eastAsia="仿宋_GB2312"/>
          <w:sz w:val="32"/>
          <w:szCs w:val="32"/>
        </w:rPr>
      </w:pPr>
      <w:r>
        <w:rPr>
          <w:rFonts w:hint="eastAsia" w:ascii="仿宋_GB2312" w:eastAsia="仿宋_GB2312"/>
          <w:sz w:val="32"/>
          <w:szCs w:val="32"/>
        </w:rPr>
        <w:t>联系电话：</w:t>
      </w:r>
      <w:r>
        <w:rPr>
          <w:rFonts w:ascii="仿宋_GB2312" w:eastAsia="仿宋_GB2312"/>
          <w:sz w:val="32"/>
          <w:szCs w:val="32"/>
        </w:rPr>
        <w:t>83757319</w:t>
      </w:r>
    </w:p>
    <w:p>
      <w:pPr>
        <w:spacing w:line="360" w:lineRule="auto"/>
        <w:ind w:firstLine="1760"/>
        <w:rPr>
          <w:rFonts w:ascii="仿宋" w:hAnsi="仿宋" w:eastAsia="仿宋"/>
          <w:sz w:val="32"/>
          <w:szCs w:val="32"/>
        </w:rPr>
        <w:sectPr>
          <w:headerReference r:id="rId3" w:type="default"/>
          <w:footerReference r:id="rId5" w:type="default"/>
          <w:headerReference r:id="rId4" w:type="even"/>
          <w:footerReference r:id="rId6" w:type="even"/>
          <w:pgSz w:w="11906" w:h="16838"/>
          <w:pgMar w:top="1440" w:right="1800" w:bottom="1440" w:left="1800" w:header="851" w:footer="992" w:gutter="0"/>
          <w:pgNumType w:fmt="numberInDash" w:start="0"/>
          <w:cols w:space="720" w:num="1"/>
          <w:docGrid w:type="lines" w:linePitch="312" w:charSpace="0"/>
        </w:sectPr>
      </w:pPr>
    </w:p>
    <w:p>
      <w:pPr>
        <w:snapToGrid w:val="0"/>
        <w:spacing w:line="560" w:lineRule="exact"/>
        <w:ind w:firstLine="640"/>
        <w:rPr>
          <w:rFonts w:ascii="黑体" w:hAnsi="黑体" w:eastAsia="黑体" w:cs="黑体"/>
          <w:b/>
          <w:sz w:val="32"/>
          <w:szCs w:val="32"/>
        </w:rPr>
      </w:pPr>
      <w:r>
        <w:rPr>
          <w:rFonts w:hint="eastAsia" w:ascii="黑体" w:hAnsi="黑体" w:eastAsia="黑体" w:cs="黑体"/>
          <w:sz w:val="32"/>
          <w:szCs w:val="32"/>
        </w:rPr>
        <w:t>一、</w:t>
      </w:r>
      <w:r>
        <w:rPr>
          <w:rFonts w:hint="eastAsia" w:ascii="楷体_GB2312" w:hAnsi="楷体_GB2312" w:eastAsia="楷体_GB2312" w:cs="楷体_GB2312"/>
          <w:b/>
          <w:color w:val="000000"/>
          <w:sz w:val="32"/>
          <w:szCs w:val="32"/>
        </w:rPr>
        <w:t>项目概况</w:t>
      </w:r>
    </w:p>
    <w:p>
      <w:pPr>
        <w:snapToGrid w:val="0"/>
        <w:spacing w:line="560" w:lineRule="exact"/>
        <w:ind w:firstLine="643"/>
        <w:rPr>
          <w:rFonts w:ascii="楷体_GB2312" w:hAnsi="楷体_GB2312" w:eastAsia="楷体_GB2312" w:cs="楷体_GB2312"/>
          <w:b/>
          <w:color w:val="000000"/>
          <w:sz w:val="32"/>
          <w:szCs w:val="32"/>
        </w:rPr>
      </w:pPr>
      <w:r>
        <w:rPr>
          <w:rFonts w:hint="eastAsia" w:ascii="楷体_GB2312" w:hAnsi="楷体_GB2312" w:eastAsia="楷体_GB2312" w:cs="楷体_GB2312"/>
          <w:b/>
          <w:color w:val="000000"/>
          <w:sz w:val="32"/>
          <w:szCs w:val="32"/>
        </w:rPr>
        <w:t>（一）项目背景、立项依据</w:t>
      </w:r>
    </w:p>
    <w:p>
      <w:pPr>
        <w:spacing w:line="560" w:lineRule="exact"/>
        <w:ind w:firstLine="640"/>
        <w:rPr>
          <w:rFonts w:ascii="仿宋_GB2312" w:eastAsia="仿宋_GB2312"/>
          <w:sz w:val="32"/>
          <w:szCs w:val="32"/>
        </w:rPr>
      </w:pPr>
      <w:r>
        <w:rPr>
          <w:rFonts w:hint="eastAsia" w:ascii="仿宋_GB2312" w:eastAsia="仿宋_GB2312"/>
          <w:sz w:val="32"/>
          <w:szCs w:val="32"/>
        </w:rPr>
        <w:t>1.项目背景</w:t>
      </w:r>
    </w:p>
    <w:p>
      <w:pPr>
        <w:spacing w:line="560" w:lineRule="exact"/>
        <w:ind w:firstLine="640"/>
        <w:rPr>
          <w:rFonts w:ascii="仿宋_GB2312" w:eastAsia="仿宋_GB2312" w:cs="宋体"/>
          <w:sz w:val="32"/>
          <w:szCs w:val="32"/>
        </w:rPr>
      </w:pPr>
      <w:r>
        <w:rPr>
          <w:rFonts w:hint="eastAsia" w:ascii="仿宋_GB2312" w:eastAsia="仿宋_GB2312" w:cs="宋体"/>
          <w:sz w:val="32"/>
          <w:szCs w:val="32"/>
        </w:rPr>
        <w:t>顺应深圳“十四五规划”产业趋势，结合“双高”职业院校“以群建院”的特点，深圳技师学院（以下简称：我校）构建以供应链运营专业为核心，以跨境电商、物流管理、商务数据分析与应用和市场营销四个专业为支撑的专业群。2022年供应链运营专业、商务数据分析与应用专业顺利获批，并正式开始招生。</w:t>
      </w:r>
    </w:p>
    <w:p>
      <w:pPr>
        <w:spacing w:line="560" w:lineRule="exact"/>
        <w:ind w:firstLine="640"/>
        <w:rPr>
          <w:rFonts w:ascii="仿宋_GB2312" w:eastAsia="仿宋_GB2312" w:cs="宋体"/>
          <w:sz w:val="32"/>
          <w:szCs w:val="32"/>
        </w:rPr>
      </w:pPr>
      <w:r>
        <w:rPr>
          <w:rFonts w:hint="eastAsia" w:ascii="仿宋_GB2312" w:eastAsia="仿宋_GB2312" w:cs="宋体"/>
          <w:sz w:val="32"/>
          <w:szCs w:val="32"/>
        </w:rPr>
        <w:t>供应链管理作为一种集成的管理思想，研究了从供应商到终端客户的整合过程。产业端真实的供应链管理与运营是覆盖了物流、采购、市场营销、网络营销、电子商务、金融等商科全境的一个新兴的且人才缺口极大的行业。通过数据化赋能，将最新的数据应用技术与供应链管理思想融入课程建设与专业人才培养方案，不仅可以满足我校物流管理专业、跨境电商专业、市场营销等专业的数据分析与应用基础的教学实训需求，同时也有利于推动多专业协同发展，打造数字供应链运营专业群。学生到企业实习，实现高端就业都会用到供应链数据分析与应用系统，对该类应用系统的熟练操作成为物流管理类专业学生的必备技能之一。该项目填补了我校供应链运营分析应用系统的空白，可满足学生供应链管理、供应链金融、数字营销、跨境电商数据运营、数据分析类等课程实训教学、俱乐部活动、专业竞赛培训需要，培养学生供应链数据分析应用系统运用能力及企业、供应链运营管理能力。</w:t>
      </w:r>
    </w:p>
    <w:p>
      <w:pPr>
        <w:spacing w:line="560" w:lineRule="exact"/>
        <w:ind w:firstLine="640"/>
        <w:rPr>
          <w:rFonts w:ascii="仿宋_GB2312" w:eastAsia="仿宋_GB2312" w:cs="宋体"/>
          <w:sz w:val="32"/>
          <w:szCs w:val="32"/>
        </w:rPr>
      </w:pPr>
      <w:r>
        <w:rPr>
          <w:rFonts w:hint="eastAsia" w:ascii="仿宋_GB2312" w:eastAsia="仿宋_GB2312" w:cs="宋体"/>
          <w:sz w:val="32"/>
          <w:szCs w:val="32"/>
        </w:rPr>
        <w:t>2</w:t>
      </w:r>
      <w:r>
        <w:rPr>
          <w:rFonts w:ascii="仿宋_GB2312" w:eastAsia="仿宋_GB2312" w:cs="宋体"/>
          <w:sz w:val="32"/>
          <w:szCs w:val="32"/>
        </w:rPr>
        <w:t>.</w:t>
      </w:r>
      <w:r>
        <w:rPr>
          <w:rFonts w:hint="eastAsia" w:ascii="仿宋_GB2312" w:eastAsia="仿宋_GB2312" w:cs="宋体"/>
          <w:sz w:val="32"/>
          <w:szCs w:val="32"/>
        </w:rPr>
        <w:t>立项依据</w:t>
      </w:r>
    </w:p>
    <w:p>
      <w:pPr>
        <w:spacing w:line="560" w:lineRule="exact"/>
        <w:ind w:firstLine="640"/>
        <w:rPr>
          <w:rFonts w:ascii="仿宋_GB2312" w:eastAsia="仿宋_GB2312" w:cs="宋体"/>
          <w:sz w:val="32"/>
          <w:szCs w:val="32"/>
        </w:rPr>
      </w:pPr>
      <w:r>
        <w:rPr>
          <w:rFonts w:hint="eastAsia" w:ascii="仿宋_GB2312" w:eastAsia="仿宋_GB2312" w:cs="宋体"/>
          <w:sz w:val="32"/>
          <w:szCs w:val="32"/>
        </w:rPr>
        <w:t>（1）《财政部 教育部关于提前下达2</w:t>
      </w:r>
      <w:r>
        <w:rPr>
          <w:rFonts w:ascii="仿宋_GB2312" w:eastAsia="仿宋_GB2312" w:cs="宋体"/>
          <w:sz w:val="32"/>
          <w:szCs w:val="32"/>
        </w:rPr>
        <w:t>022</w:t>
      </w:r>
      <w:r>
        <w:rPr>
          <w:rFonts w:hint="eastAsia" w:ascii="仿宋_GB2312" w:eastAsia="仿宋_GB2312" w:cs="宋体"/>
          <w:sz w:val="32"/>
          <w:szCs w:val="32"/>
        </w:rPr>
        <w:t>年现代职业教育质量提升计划资金预算的通知》（财教〔2</w:t>
      </w:r>
      <w:r>
        <w:rPr>
          <w:rFonts w:ascii="仿宋_GB2312" w:eastAsia="仿宋_GB2312" w:cs="宋体"/>
          <w:sz w:val="32"/>
          <w:szCs w:val="32"/>
        </w:rPr>
        <w:t>021</w:t>
      </w:r>
      <w:r>
        <w:rPr>
          <w:rFonts w:hint="eastAsia" w:ascii="仿宋_GB2312" w:eastAsia="仿宋_GB2312" w:cs="宋体"/>
          <w:sz w:val="32"/>
          <w:szCs w:val="32"/>
        </w:rPr>
        <w:t>〕2</w:t>
      </w:r>
      <w:r>
        <w:rPr>
          <w:rFonts w:ascii="仿宋_GB2312" w:eastAsia="仿宋_GB2312" w:cs="宋体"/>
          <w:sz w:val="32"/>
          <w:szCs w:val="32"/>
        </w:rPr>
        <w:t>05</w:t>
      </w:r>
      <w:r>
        <w:rPr>
          <w:rFonts w:hint="eastAsia" w:ascii="仿宋_GB2312" w:eastAsia="仿宋_GB2312" w:cs="宋体"/>
          <w:sz w:val="32"/>
          <w:szCs w:val="32"/>
        </w:rPr>
        <w:t>号）；</w:t>
      </w:r>
    </w:p>
    <w:p>
      <w:pPr>
        <w:spacing w:line="560" w:lineRule="exact"/>
        <w:ind w:firstLine="640"/>
        <w:rPr>
          <w:rFonts w:ascii="仿宋_GB2312" w:eastAsia="仿宋_GB2312" w:cs="宋体"/>
          <w:sz w:val="32"/>
          <w:szCs w:val="32"/>
        </w:rPr>
      </w:pPr>
      <w:r>
        <w:rPr>
          <w:rFonts w:hint="eastAsia" w:ascii="仿宋_GB2312" w:eastAsia="仿宋_GB2312" w:cs="宋体"/>
          <w:sz w:val="32"/>
          <w:szCs w:val="32"/>
        </w:rPr>
        <w:t>（2）《深圳市教育局关于明确2022年现代职业教育质量提升计划资金分配方案的函》；</w:t>
      </w:r>
    </w:p>
    <w:p>
      <w:pPr>
        <w:spacing w:line="560" w:lineRule="exact"/>
        <w:ind w:firstLine="640"/>
        <w:rPr>
          <w:rFonts w:ascii="仿宋_GB2312" w:eastAsia="仿宋_GB2312" w:cs="宋体"/>
          <w:sz w:val="32"/>
          <w:szCs w:val="32"/>
        </w:rPr>
      </w:pPr>
      <w:r>
        <w:rPr>
          <w:rFonts w:hint="eastAsia" w:ascii="仿宋_GB2312" w:eastAsia="仿宋_GB2312" w:cs="宋体"/>
          <w:sz w:val="32"/>
          <w:szCs w:val="32"/>
        </w:rPr>
        <w:t>（3）《深圳市财政局关于下达2022年现代职业教育质量提升计划资金预算的通知》（深财教〔2</w:t>
      </w:r>
      <w:r>
        <w:rPr>
          <w:rFonts w:ascii="仿宋_GB2312" w:eastAsia="仿宋_GB2312" w:cs="宋体"/>
          <w:sz w:val="32"/>
          <w:szCs w:val="32"/>
        </w:rPr>
        <w:t>022</w:t>
      </w:r>
      <w:r>
        <w:rPr>
          <w:rFonts w:hint="eastAsia" w:ascii="仿宋_GB2312" w:eastAsia="仿宋_GB2312" w:cs="宋体"/>
          <w:sz w:val="32"/>
          <w:szCs w:val="32"/>
        </w:rPr>
        <w:t>〕</w:t>
      </w:r>
      <w:r>
        <w:rPr>
          <w:rFonts w:ascii="仿宋_GB2312" w:eastAsia="仿宋_GB2312" w:cs="宋体"/>
          <w:sz w:val="32"/>
          <w:szCs w:val="32"/>
        </w:rPr>
        <w:t>46</w:t>
      </w:r>
      <w:r>
        <w:rPr>
          <w:rFonts w:hint="eastAsia" w:ascii="仿宋_GB2312" w:eastAsia="仿宋_GB2312" w:cs="宋体"/>
          <w:sz w:val="32"/>
          <w:szCs w:val="32"/>
        </w:rPr>
        <w:t>号）。</w:t>
      </w:r>
    </w:p>
    <w:p>
      <w:pPr>
        <w:spacing w:line="560" w:lineRule="exact"/>
        <w:ind w:firstLine="640"/>
        <w:rPr>
          <w:rFonts w:ascii="仿宋_GB2312" w:eastAsia="仿宋_GB2312"/>
          <w:sz w:val="32"/>
          <w:szCs w:val="32"/>
        </w:rPr>
      </w:pPr>
      <w:r>
        <w:rPr>
          <w:rFonts w:ascii="仿宋_GB2312" w:eastAsia="仿宋_GB2312"/>
          <w:sz w:val="32"/>
          <w:szCs w:val="32"/>
        </w:rPr>
        <w:t>3</w:t>
      </w:r>
      <w:r>
        <w:rPr>
          <w:rFonts w:hint="eastAsia" w:ascii="仿宋_GB2312" w:eastAsia="仿宋_GB2312"/>
          <w:sz w:val="32"/>
          <w:szCs w:val="32"/>
        </w:rPr>
        <w:t>.项目主要内容</w:t>
      </w:r>
    </w:p>
    <w:p>
      <w:pPr>
        <w:spacing w:line="560" w:lineRule="exact"/>
        <w:ind w:firstLine="640"/>
        <w:rPr>
          <w:rFonts w:ascii="仿宋_GB2312" w:eastAsia="仿宋_GB2312" w:cs="宋体"/>
          <w:sz w:val="32"/>
          <w:szCs w:val="32"/>
        </w:rPr>
      </w:pPr>
      <w:r>
        <w:rPr>
          <w:rFonts w:hint="eastAsia" w:ascii="仿宋_GB2312" w:eastAsia="仿宋_GB2312" w:cs="宋体"/>
          <w:sz w:val="32"/>
          <w:szCs w:val="32"/>
        </w:rPr>
        <w:t>本项目为上级转移支付项目，资金主要用于我校商贸学院供应链运营分析与应用系统的购建和教师相关培训支出。该项目旨在提升教师职业素质，建成国内职业院校一流供应链运营分析与应用项目，计划每学年实际使用学时数500学时，包含教学400学时、教科研60学时、技能俱乐部40学时。</w:t>
      </w:r>
    </w:p>
    <w:p>
      <w:pPr>
        <w:snapToGrid w:val="0"/>
        <w:spacing w:line="560" w:lineRule="exact"/>
        <w:ind w:firstLine="643"/>
        <w:rPr>
          <w:rFonts w:ascii="楷体_GB2312" w:hAnsi="楷体_GB2312" w:eastAsia="楷体_GB2312" w:cs="楷体_GB2312"/>
          <w:b/>
          <w:color w:val="000000"/>
          <w:sz w:val="32"/>
          <w:szCs w:val="32"/>
        </w:rPr>
      </w:pPr>
      <w:r>
        <w:rPr>
          <w:rFonts w:hint="eastAsia" w:ascii="楷体_GB2312" w:hAnsi="楷体_GB2312" w:eastAsia="楷体_GB2312" w:cs="楷体_GB2312"/>
          <w:b/>
          <w:color w:val="000000"/>
          <w:sz w:val="32"/>
          <w:szCs w:val="32"/>
        </w:rPr>
        <w:t>（二）项目管理和组织分工</w:t>
      </w:r>
    </w:p>
    <w:p>
      <w:pPr>
        <w:spacing w:line="560" w:lineRule="exact"/>
        <w:ind w:firstLine="640"/>
        <w:rPr>
          <w:rFonts w:ascii="仿宋_GB2312" w:eastAsia="仿宋_GB2312"/>
          <w:sz w:val="32"/>
          <w:szCs w:val="32"/>
        </w:rPr>
      </w:pPr>
      <w:r>
        <w:rPr>
          <w:rFonts w:hint="eastAsia" w:ascii="仿宋_GB2312" w:eastAsia="仿宋_GB2312"/>
          <w:sz w:val="32"/>
          <w:szCs w:val="32"/>
        </w:rPr>
        <w:t>本项目主要由我校商贸学院和人事处负责组织实施，商贸学院主要职责为：草拟项目申报书，编制项目资金需求预算，落实项目实施条件，负责项目设备的集中管理、运行维护，做好项目日常管理工作。人事处主要职责为：编制培训计划，负责教职工培训管理。两部门均接受有关单位对资金使用情况的监督检查和审计，按要求提供项目资金使用情况和项目执行情况的报告。</w:t>
      </w:r>
    </w:p>
    <w:p>
      <w:pPr>
        <w:snapToGrid w:val="0"/>
        <w:spacing w:line="560" w:lineRule="exact"/>
        <w:ind w:firstLine="643"/>
        <w:rPr>
          <w:rFonts w:ascii="楷体_GB2312" w:hAnsi="楷体_GB2312" w:eastAsia="楷体_GB2312" w:cs="楷体_GB2312"/>
          <w:b/>
          <w:color w:val="000000"/>
          <w:sz w:val="32"/>
          <w:szCs w:val="32"/>
        </w:rPr>
      </w:pPr>
      <w:r>
        <w:rPr>
          <w:rFonts w:hint="eastAsia" w:ascii="楷体_GB2312" w:hAnsi="楷体_GB2312" w:eastAsia="楷体_GB2312" w:cs="楷体_GB2312"/>
          <w:b/>
          <w:color w:val="000000"/>
          <w:sz w:val="32"/>
          <w:szCs w:val="32"/>
        </w:rPr>
        <w:t>（三）项目资金管理情况</w:t>
      </w:r>
    </w:p>
    <w:p>
      <w:pPr>
        <w:spacing w:line="560" w:lineRule="exact"/>
        <w:ind w:firstLine="640"/>
        <w:rPr>
          <w:rFonts w:ascii="仿宋_GB2312" w:eastAsia="仿宋_GB2312"/>
          <w:sz w:val="32"/>
          <w:szCs w:val="32"/>
        </w:rPr>
      </w:pPr>
      <w:r>
        <w:rPr>
          <w:rFonts w:hint="eastAsia" w:ascii="仿宋_GB2312" w:eastAsia="仿宋_GB2312"/>
          <w:sz w:val="32"/>
          <w:szCs w:val="32"/>
        </w:rPr>
        <w:t>1.项目预算安排及执行情况</w:t>
      </w:r>
    </w:p>
    <w:p>
      <w:pPr>
        <w:spacing w:line="560" w:lineRule="exact"/>
        <w:ind w:firstLine="640"/>
        <w:rPr>
          <w:rFonts w:ascii="仿宋_GB2312" w:eastAsia="仿宋_GB2312"/>
          <w:sz w:val="32"/>
          <w:szCs w:val="32"/>
        </w:rPr>
      </w:pPr>
      <w:r>
        <w:rPr>
          <w:rFonts w:hint="eastAsia" w:ascii="仿宋_GB2312" w:eastAsia="仿宋_GB2312"/>
          <w:sz w:val="32"/>
          <w:szCs w:val="32"/>
        </w:rPr>
        <w:t>本项目年初预算1</w:t>
      </w:r>
      <w:r>
        <w:rPr>
          <w:rFonts w:ascii="仿宋_GB2312" w:eastAsia="仿宋_GB2312"/>
          <w:sz w:val="32"/>
          <w:szCs w:val="32"/>
        </w:rPr>
        <w:t>50</w:t>
      </w:r>
      <w:r>
        <w:rPr>
          <w:rFonts w:hint="eastAsia" w:ascii="仿宋_GB2312" w:eastAsia="仿宋_GB2312"/>
          <w:sz w:val="32"/>
          <w:szCs w:val="32"/>
        </w:rPr>
        <w:t>万元，调整预算数1</w:t>
      </w:r>
      <w:r>
        <w:rPr>
          <w:rFonts w:ascii="仿宋_GB2312" w:eastAsia="仿宋_GB2312"/>
          <w:sz w:val="32"/>
          <w:szCs w:val="32"/>
        </w:rPr>
        <w:t>40</w:t>
      </w:r>
      <w:r>
        <w:rPr>
          <w:rFonts w:hint="eastAsia" w:ascii="仿宋_GB2312" w:eastAsia="仿宋_GB2312"/>
          <w:sz w:val="32"/>
          <w:szCs w:val="32"/>
        </w:rPr>
        <w:t>万元，其中中职学校改善办学条件奖补指标1</w:t>
      </w:r>
      <w:r>
        <w:rPr>
          <w:rFonts w:ascii="仿宋_GB2312" w:eastAsia="仿宋_GB2312"/>
          <w:sz w:val="32"/>
          <w:szCs w:val="32"/>
        </w:rPr>
        <w:t>00</w:t>
      </w:r>
      <w:r>
        <w:rPr>
          <w:rFonts w:hint="eastAsia" w:ascii="仿宋_GB2312" w:eastAsia="仿宋_GB2312"/>
          <w:sz w:val="32"/>
          <w:szCs w:val="32"/>
        </w:rPr>
        <w:t>万元、职业院校教师素质提高计划奖补指标4</w:t>
      </w:r>
      <w:r>
        <w:rPr>
          <w:rFonts w:ascii="仿宋_GB2312" w:eastAsia="仿宋_GB2312"/>
          <w:sz w:val="32"/>
          <w:szCs w:val="32"/>
        </w:rPr>
        <w:t>0</w:t>
      </w:r>
      <w:r>
        <w:rPr>
          <w:rFonts w:hint="eastAsia" w:ascii="仿宋_GB2312" w:eastAsia="仿宋_GB2312"/>
          <w:sz w:val="32"/>
          <w:szCs w:val="32"/>
        </w:rPr>
        <w:t>万元。以上预算资金主要用于设备采购及师资培训，其中采购供应链大数据分析可视化系统1套、供应链金融智慧风控平台1套、电脑1</w:t>
      </w:r>
      <w:r>
        <w:rPr>
          <w:rFonts w:ascii="仿宋_GB2312" w:eastAsia="仿宋_GB2312"/>
          <w:sz w:val="32"/>
          <w:szCs w:val="32"/>
        </w:rPr>
        <w:t>2</w:t>
      </w:r>
      <w:r>
        <w:rPr>
          <w:rFonts w:hint="eastAsia" w:ascii="仿宋_GB2312" w:eastAsia="仿宋_GB2312"/>
          <w:sz w:val="32"/>
          <w:szCs w:val="32"/>
        </w:rPr>
        <w:t>台，组织教职工培训110人次。项目实际支出</w:t>
      </w:r>
      <w:r>
        <w:rPr>
          <w:rFonts w:ascii="仿宋_GB2312" w:eastAsia="仿宋_GB2312"/>
          <w:sz w:val="32"/>
          <w:szCs w:val="32"/>
        </w:rPr>
        <w:t>139.42</w:t>
      </w:r>
      <w:r>
        <w:rPr>
          <w:rFonts w:hint="eastAsia" w:ascii="仿宋_GB2312" w:eastAsia="仿宋_GB2312"/>
          <w:sz w:val="32"/>
          <w:szCs w:val="32"/>
        </w:rPr>
        <w:t>万元，预算执行率为9</w:t>
      </w:r>
      <w:r>
        <w:rPr>
          <w:rFonts w:ascii="仿宋_GB2312" w:eastAsia="仿宋_GB2312"/>
          <w:sz w:val="32"/>
          <w:szCs w:val="32"/>
        </w:rPr>
        <w:t>9.59</w:t>
      </w:r>
      <w:r>
        <w:rPr>
          <w:rFonts w:hint="eastAsia" w:ascii="仿宋_GB2312" w:eastAsia="仿宋_GB2312"/>
          <w:sz w:val="32"/>
          <w:szCs w:val="32"/>
        </w:rPr>
        <w:t>%。具体执行率如下：</w:t>
      </w:r>
    </w:p>
    <w:tbl>
      <w:tblPr>
        <w:tblStyle w:val="8"/>
        <w:tblW w:w="5000" w:type="pct"/>
        <w:tblInd w:w="0" w:type="dxa"/>
        <w:tblLayout w:type="autofit"/>
        <w:tblCellMar>
          <w:top w:w="0" w:type="dxa"/>
          <w:left w:w="108" w:type="dxa"/>
          <w:bottom w:w="0" w:type="dxa"/>
          <w:right w:w="108" w:type="dxa"/>
        </w:tblCellMar>
      </w:tblPr>
      <w:tblGrid>
        <w:gridCol w:w="3442"/>
        <w:gridCol w:w="1354"/>
        <w:gridCol w:w="1354"/>
        <w:gridCol w:w="1462"/>
        <w:gridCol w:w="916"/>
      </w:tblGrid>
      <w:tr>
        <w:tblPrEx>
          <w:tblCellMar>
            <w:top w:w="0" w:type="dxa"/>
            <w:left w:w="108" w:type="dxa"/>
            <w:bottom w:w="0" w:type="dxa"/>
            <w:right w:w="108" w:type="dxa"/>
          </w:tblCellMar>
        </w:tblPrEx>
        <w:trPr>
          <w:trHeight w:val="340" w:hRule="atLeast"/>
        </w:trPr>
        <w:tc>
          <w:tcPr>
            <w:tcW w:w="5000" w:type="pct"/>
            <w:gridSpan w:val="5"/>
            <w:tcBorders>
              <w:bottom w:val="single" w:color="auto" w:sz="4" w:space="0"/>
            </w:tcBorders>
            <w:shd w:val="clear" w:color="auto" w:fill="auto"/>
            <w:noWrap/>
            <w:vAlign w:val="center"/>
          </w:tcPr>
          <w:p>
            <w:pPr>
              <w:jc w:val="right"/>
              <w:rPr>
                <w:color w:val="000000"/>
              </w:rPr>
            </w:pPr>
            <w:r>
              <w:rPr>
                <w:rFonts w:hint="eastAsia"/>
                <w:color w:val="000000"/>
              </w:rPr>
              <w:t>金额单位：元</w:t>
            </w:r>
          </w:p>
        </w:tc>
      </w:tr>
      <w:tr>
        <w:tblPrEx>
          <w:tblCellMar>
            <w:top w:w="0" w:type="dxa"/>
            <w:left w:w="108" w:type="dxa"/>
            <w:bottom w:w="0" w:type="dxa"/>
            <w:right w:w="108" w:type="dxa"/>
          </w:tblCellMar>
        </w:tblPrEx>
        <w:trPr>
          <w:trHeight w:val="340" w:hRule="atLeast"/>
        </w:trPr>
        <w:tc>
          <w:tcPr>
            <w:tcW w:w="2018"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color w:val="000000"/>
              </w:rPr>
            </w:pPr>
            <w:r>
              <w:rPr>
                <w:color w:val="000000"/>
              </w:rPr>
              <w:t>子项目名称</w:t>
            </w:r>
          </w:p>
        </w:tc>
        <w:tc>
          <w:tcPr>
            <w:tcW w:w="794" w:type="pct"/>
            <w:tcBorders>
              <w:top w:val="single" w:color="auto" w:sz="4" w:space="0"/>
              <w:left w:val="nil"/>
              <w:bottom w:val="single" w:color="auto" w:sz="4" w:space="0"/>
              <w:right w:val="single" w:color="auto" w:sz="4" w:space="0"/>
            </w:tcBorders>
            <w:shd w:val="clear" w:color="auto" w:fill="auto"/>
            <w:noWrap/>
            <w:vAlign w:val="center"/>
          </w:tcPr>
          <w:p>
            <w:pPr>
              <w:jc w:val="center"/>
              <w:rPr>
                <w:color w:val="000000"/>
              </w:rPr>
            </w:pPr>
            <w:r>
              <w:rPr>
                <w:color w:val="000000"/>
              </w:rPr>
              <w:t>年初指标</w:t>
            </w:r>
          </w:p>
        </w:tc>
        <w:tc>
          <w:tcPr>
            <w:tcW w:w="794" w:type="pct"/>
            <w:tcBorders>
              <w:top w:val="single" w:color="auto" w:sz="4" w:space="0"/>
              <w:left w:val="nil"/>
              <w:bottom w:val="single" w:color="auto" w:sz="4" w:space="0"/>
              <w:right w:val="single" w:color="auto" w:sz="4" w:space="0"/>
            </w:tcBorders>
            <w:shd w:val="clear" w:color="auto" w:fill="auto"/>
            <w:noWrap/>
            <w:vAlign w:val="center"/>
          </w:tcPr>
          <w:p>
            <w:pPr>
              <w:jc w:val="center"/>
              <w:rPr>
                <w:color w:val="000000"/>
              </w:rPr>
            </w:pPr>
            <w:r>
              <w:rPr>
                <w:color w:val="000000"/>
              </w:rPr>
              <w:t>调整预算数</w:t>
            </w:r>
          </w:p>
        </w:tc>
        <w:tc>
          <w:tcPr>
            <w:tcW w:w="857" w:type="pct"/>
            <w:tcBorders>
              <w:top w:val="single" w:color="auto" w:sz="4" w:space="0"/>
              <w:left w:val="nil"/>
              <w:bottom w:val="single" w:color="auto" w:sz="4" w:space="0"/>
              <w:right w:val="single" w:color="auto" w:sz="4" w:space="0"/>
            </w:tcBorders>
            <w:shd w:val="clear" w:color="auto" w:fill="auto"/>
            <w:noWrap/>
            <w:vAlign w:val="center"/>
          </w:tcPr>
          <w:p>
            <w:pPr>
              <w:jc w:val="center"/>
              <w:rPr>
                <w:color w:val="000000"/>
              </w:rPr>
            </w:pPr>
            <w:r>
              <w:rPr>
                <w:color w:val="000000"/>
              </w:rPr>
              <w:t>实际执行数</w:t>
            </w:r>
          </w:p>
        </w:tc>
        <w:tc>
          <w:tcPr>
            <w:tcW w:w="536" w:type="pct"/>
            <w:tcBorders>
              <w:top w:val="single" w:color="auto" w:sz="4" w:space="0"/>
              <w:left w:val="nil"/>
              <w:bottom w:val="single" w:color="auto" w:sz="4" w:space="0"/>
              <w:right w:val="single" w:color="auto" w:sz="4" w:space="0"/>
            </w:tcBorders>
            <w:shd w:val="clear" w:color="auto" w:fill="auto"/>
            <w:noWrap/>
            <w:vAlign w:val="center"/>
          </w:tcPr>
          <w:p>
            <w:pPr>
              <w:jc w:val="center"/>
              <w:rPr>
                <w:color w:val="000000"/>
              </w:rPr>
            </w:pPr>
            <w:r>
              <w:rPr>
                <w:color w:val="000000"/>
              </w:rPr>
              <w:t>执行率</w:t>
            </w:r>
          </w:p>
        </w:tc>
      </w:tr>
      <w:tr>
        <w:tblPrEx>
          <w:tblCellMar>
            <w:top w:w="0" w:type="dxa"/>
            <w:left w:w="108" w:type="dxa"/>
            <w:bottom w:w="0" w:type="dxa"/>
            <w:right w:w="108" w:type="dxa"/>
          </w:tblCellMar>
        </w:tblPrEx>
        <w:trPr>
          <w:trHeight w:val="340" w:hRule="atLeast"/>
        </w:trPr>
        <w:tc>
          <w:tcPr>
            <w:tcW w:w="2018" w:type="pct"/>
            <w:tcBorders>
              <w:top w:val="nil"/>
              <w:left w:val="single" w:color="auto" w:sz="4" w:space="0"/>
              <w:bottom w:val="single" w:color="auto" w:sz="4" w:space="0"/>
              <w:right w:val="single" w:color="auto" w:sz="4" w:space="0"/>
            </w:tcBorders>
            <w:shd w:val="clear" w:color="auto" w:fill="auto"/>
            <w:vAlign w:val="center"/>
          </w:tcPr>
          <w:p>
            <w:pPr>
              <w:jc w:val="center"/>
            </w:pPr>
            <w:r>
              <w:t>现代职业教育质量提升-师资培训</w:t>
            </w:r>
          </w:p>
        </w:tc>
        <w:tc>
          <w:tcPr>
            <w:tcW w:w="794" w:type="pct"/>
            <w:tcBorders>
              <w:top w:val="nil"/>
              <w:left w:val="nil"/>
              <w:bottom w:val="single" w:color="auto" w:sz="4" w:space="0"/>
              <w:right w:val="single" w:color="auto" w:sz="4" w:space="0"/>
            </w:tcBorders>
            <w:shd w:val="clear" w:color="auto" w:fill="auto"/>
            <w:vAlign w:val="center"/>
          </w:tcPr>
          <w:p>
            <w:pPr>
              <w:jc w:val="center"/>
            </w:pPr>
            <w:r>
              <w:t>500,000.00</w:t>
            </w:r>
          </w:p>
        </w:tc>
        <w:tc>
          <w:tcPr>
            <w:tcW w:w="794" w:type="pct"/>
            <w:tcBorders>
              <w:top w:val="nil"/>
              <w:left w:val="nil"/>
              <w:bottom w:val="single" w:color="auto" w:sz="4" w:space="0"/>
              <w:right w:val="single" w:color="auto" w:sz="4" w:space="0"/>
            </w:tcBorders>
            <w:shd w:val="clear" w:color="auto" w:fill="auto"/>
            <w:vAlign w:val="center"/>
          </w:tcPr>
          <w:p>
            <w:pPr>
              <w:jc w:val="center"/>
            </w:pPr>
            <w:r>
              <w:t>400,000.00</w:t>
            </w:r>
          </w:p>
        </w:tc>
        <w:tc>
          <w:tcPr>
            <w:tcW w:w="857" w:type="pct"/>
            <w:tcBorders>
              <w:top w:val="nil"/>
              <w:left w:val="nil"/>
              <w:bottom w:val="single" w:color="auto" w:sz="4" w:space="0"/>
              <w:right w:val="single" w:color="auto" w:sz="4" w:space="0"/>
            </w:tcBorders>
            <w:shd w:val="clear" w:color="auto" w:fill="auto"/>
            <w:vAlign w:val="center"/>
          </w:tcPr>
          <w:p>
            <w:pPr>
              <w:jc w:val="center"/>
            </w:pPr>
            <w:r>
              <w:t>399,483.30</w:t>
            </w:r>
          </w:p>
        </w:tc>
        <w:tc>
          <w:tcPr>
            <w:tcW w:w="536" w:type="pct"/>
            <w:tcBorders>
              <w:top w:val="nil"/>
              <w:left w:val="nil"/>
              <w:bottom w:val="single" w:color="auto" w:sz="4" w:space="0"/>
              <w:right w:val="single" w:color="auto" w:sz="4" w:space="0"/>
            </w:tcBorders>
            <w:shd w:val="clear" w:color="auto" w:fill="auto"/>
            <w:noWrap/>
            <w:vAlign w:val="center"/>
          </w:tcPr>
          <w:p>
            <w:pPr>
              <w:jc w:val="right"/>
              <w:rPr>
                <w:color w:val="000000"/>
              </w:rPr>
            </w:pPr>
            <w:r>
              <w:rPr>
                <w:color w:val="000000"/>
              </w:rPr>
              <w:t>99.87%</w:t>
            </w:r>
          </w:p>
        </w:tc>
      </w:tr>
      <w:tr>
        <w:tblPrEx>
          <w:tblCellMar>
            <w:top w:w="0" w:type="dxa"/>
            <w:left w:w="108" w:type="dxa"/>
            <w:bottom w:w="0" w:type="dxa"/>
            <w:right w:w="108" w:type="dxa"/>
          </w:tblCellMar>
        </w:tblPrEx>
        <w:trPr>
          <w:trHeight w:val="340" w:hRule="atLeast"/>
        </w:trPr>
        <w:tc>
          <w:tcPr>
            <w:tcW w:w="2018" w:type="pct"/>
            <w:tcBorders>
              <w:top w:val="nil"/>
              <w:left w:val="single" w:color="auto" w:sz="4" w:space="0"/>
              <w:bottom w:val="single" w:color="auto" w:sz="4" w:space="0"/>
              <w:right w:val="single" w:color="auto" w:sz="4" w:space="0"/>
            </w:tcBorders>
            <w:shd w:val="clear" w:color="auto" w:fill="auto"/>
            <w:vAlign w:val="center"/>
          </w:tcPr>
          <w:p>
            <w:pPr>
              <w:jc w:val="center"/>
            </w:pPr>
            <w:r>
              <w:t>现代职业教育质量提升-实训室设备政采</w:t>
            </w:r>
          </w:p>
        </w:tc>
        <w:tc>
          <w:tcPr>
            <w:tcW w:w="794" w:type="pct"/>
            <w:tcBorders>
              <w:top w:val="nil"/>
              <w:left w:val="nil"/>
              <w:bottom w:val="single" w:color="auto" w:sz="4" w:space="0"/>
              <w:right w:val="single" w:color="auto" w:sz="4" w:space="0"/>
            </w:tcBorders>
            <w:shd w:val="clear" w:color="auto" w:fill="auto"/>
            <w:vAlign w:val="center"/>
          </w:tcPr>
          <w:p>
            <w:pPr>
              <w:jc w:val="center"/>
            </w:pPr>
            <w:r>
              <w:t>120,000.00</w:t>
            </w:r>
          </w:p>
        </w:tc>
        <w:tc>
          <w:tcPr>
            <w:tcW w:w="794" w:type="pct"/>
            <w:tcBorders>
              <w:top w:val="nil"/>
              <w:left w:val="nil"/>
              <w:bottom w:val="single" w:color="auto" w:sz="4" w:space="0"/>
              <w:right w:val="single" w:color="auto" w:sz="4" w:space="0"/>
            </w:tcBorders>
            <w:shd w:val="clear" w:color="auto" w:fill="auto"/>
            <w:vAlign w:val="center"/>
          </w:tcPr>
          <w:p>
            <w:pPr>
              <w:jc w:val="center"/>
            </w:pPr>
            <w:r>
              <w:t>120,000.00</w:t>
            </w:r>
          </w:p>
        </w:tc>
        <w:tc>
          <w:tcPr>
            <w:tcW w:w="857" w:type="pct"/>
            <w:tcBorders>
              <w:top w:val="nil"/>
              <w:left w:val="nil"/>
              <w:bottom w:val="single" w:color="auto" w:sz="4" w:space="0"/>
              <w:right w:val="single" w:color="auto" w:sz="4" w:space="0"/>
            </w:tcBorders>
            <w:shd w:val="clear" w:color="auto" w:fill="auto"/>
            <w:vAlign w:val="center"/>
          </w:tcPr>
          <w:p>
            <w:pPr>
              <w:jc w:val="center"/>
            </w:pPr>
            <w:r>
              <w:t>119,760.00</w:t>
            </w:r>
          </w:p>
        </w:tc>
        <w:tc>
          <w:tcPr>
            <w:tcW w:w="536" w:type="pct"/>
            <w:tcBorders>
              <w:top w:val="nil"/>
              <w:left w:val="nil"/>
              <w:bottom w:val="single" w:color="auto" w:sz="4" w:space="0"/>
              <w:right w:val="single" w:color="auto" w:sz="4" w:space="0"/>
            </w:tcBorders>
            <w:shd w:val="clear" w:color="auto" w:fill="auto"/>
            <w:noWrap/>
            <w:vAlign w:val="center"/>
          </w:tcPr>
          <w:p>
            <w:pPr>
              <w:jc w:val="right"/>
              <w:rPr>
                <w:color w:val="000000"/>
              </w:rPr>
            </w:pPr>
            <w:r>
              <w:rPr>
                <w:color w:val="000000"/>
              </w:rPr>
              <w:t>99.80%</w:t>
            </w:r>
          </w:p>
        </w:tc>
      </w:tr>
      <w:tr>
        <w:tblPrEx>
          <w:tblCellMar>
            <w:top w:w="0" w:type="dxa"/>
            <w:left w:w="108" w:type="dxa"/>
            <w:bottom w:w="0" w:type="dxa"/>
            <w:right w:w="108" w:type="dxa"/>
          </w:tblCellMar>
        </w:tblPrEx>
        <w:trPr>
          <w:trHeight w:val="340" w:hRule="atLeast"/>
        </w:trPr>
        <w:tc>
          <w:tcPr>
            <w:tcW w:w="2018" w:type="pct"/>
            <w:tcBorders>
              <w:top w:val="nil"/>
              <w:left w:val="single" w:color="auto" w:sz="4" w:space="0"/>
              <w:bottom w:val="single" w:color="auto" w:sz="4" w:space="0"/>
              <w:right w:val="single" w:color="auto" w:sz="4" w:space="0"/>
            </w:tcBorders>
            <w:shd w:val="clear" w:color="auto" w:fill="auto"/>
            <w:vAlign w:val="center"/>
          </w:tcPr>
          <w:p>
            <w:pPr>
              <w:jc w:val="center"/>
            </w:pPr>
            <w:r>
              <w:t>现代职业教育质量提升-实训室设备自采</w:t>
            </w:r>
          </w:p>
        </w:tc>
        <w:tc>
          <w:tcPr>
            <w:tcW w:w="794" w:type="pct"/>
            <w:tcBorders>
              <w:top w:val="nil"/>
              <w:left w:val="nil"/>
              <w:bottom w:val="single" w:color="auto" w:sz="4" w:space="0"/>
              <w:right w:val="single" w:color="auto" w:sz="4" w:space="0"/>
            </w:tcBorders>
            <w:shd w:val="clear" w:color="auto" w:fill="auto"/>
            <w:vAlign w:val="center"/>
          </w:tcPr>
          <w:p>
            <w:pPr>
              <w:jc w:val="center"/>
            </w:pPr>
            <w:r>
              <w:t>880,000.00</w:t>
            </w:r>
          </w:p>
        </w:tc>
        <w:tc>
          <w:tcPr>
            <w:tcW w:w="794" w:type="pct"/>
            <w:tcBorders>
              <w:top w:val="nil"/>
              <w:left w:val="nil"/>
              <w:bottom w:val="single" w:color="auto" w:sz="4" w:space="0"/>
              <w:right w:val="single" w:color="auto" w:sz="4" w:space="0"/>
            </w:tcBorders>
            <w:shd w:val="clear" w:color="auto" w:fill="auto"/>
            <w:vAlign w:val="center"/>
          </w:tcPr>
          <w:p>
            <w:pPr>
              <w:jc w:val="center"/>
            </w:pPr>
            <w:r>
              <w:t>880,000.00</w:t>
            </w:r>
          </w:p>
        </w:tc>
        <w:tc>
          <w:tcPr>
            <w:tcW w:w="857" w:type="pct"/>
            <w:tcBorders>
              <w:top w:val="nil"/>
              <w:left w:val="nil"/>
              <w:bottom w:val="single" w:color="auto" w:sz="4" w:space="0"/>
              <w:right w:val="single" w:color="auto" w:sz="4" w:space="0"/>
            </w:tcBorders>
            <w:shd w:val="clear" w:color="auto" w:fill="auto"/>
            <w:vAlign w:val="center"/>
          </w:tcPr>
          <w:p>
            <w:pPr>
              <w:jc w:val="center"/>
            </w:pPr>
            <w:r>
              <w:t>875,000.00</w:t>
            </w:r>
          </w:p>
        </w:tc>
        <w:tc>
          <w:tcPr>
            <w:tcW w:w="536" w:type="pct"/>
            <w:tcBorders>
              <w:top w:val="nil"/>
              <w:left w:val="nil"/>
              <w:bottom w:val="single" w:color="auto" w:sz="4" w:space="0"/>
              <w:right w:val="single" w:color="auto" w:sz="4" w:space="0"/>
            </w:tcBorders>
            <w:shd w:val="clear" w:color="auto" w:fill="auto"/>
            <w:noWrap/>
            <w:vAlign w:val="center"/>
          </w:tcPr>
          <w:p>
            <w:pPr>
              <w:jc w:val="right"/>
              <w:rPr>
                <w:color w:val="000000"/>
              </w:rPr>
            </w:pPr>
            <w:r>
              <w:rPr>
                <w:color w:val="000000"/>
              </w:rPr>
              <w:t>99.43%</w:t>
            </w:r>
          </w:p>
        </w:tc>
      </w:tr>
      <w:tr>
        <w:tblPrEx>
          <w:tblCellMar>
            <w:top w:w="0" w:type="dxa"/>
            <w:left w:w="108" w:type="dxa"/>
            <w:bottom w:w="0" w:type="dxa"/>
            <w:right w:w="108" w:type="dxa"/>
          </w:tblCellMar>
        </w:tblPrEx>
        <w:trPr>
          <w:trHeight w:val="340" w:hRule="atLeast"/>
        </w:trPr>
        <w:tc>
          <w:tcPr>
            <w:tcW w:w="2018" w:type="pct"/>
            <w:tcBorders>
              <w:top w:val="nil"/>
              <w:left w:val="single" w:color="auto" w:sz="4" w:space="0"/>
              <w:bottom w:val="single" w:color="auto" w:sz="4" w:space="0"/>
              <w:right w:val="single" w:color="auto" w:sz="4" w:space="0"/>
            </w:tcBorders>
            <w:shd w:val="clear" w:color="auto" w:fill="auto"/>
            <w:noWrap/>
            <w:vAlign w:val="center"/>
          </w:tcPr>
          <w:p>
            <w:pPr>
              <w:jc w:val="center"/>
              <w:rPr>
                <w:color w:val="000000"/>
              </w:rPr>
            </w:pPr>
            <w:r>
              <w:rPr>
                <w:color w:val="000000"/>
              </w:rPr>
              <w:t>合计</w:t>
            </w:r>
          </w:p>
        </w:tc>
        <w:tc>
          <w:tcPr>
            <w:tcW w:w="794" w:type="pct"/>
            <w:tcBorders>
              <w:top w:val="nil"/>
              <w:left w:val="nil"/>
              <w:bottom w:val="single" w:color="auto" w:sz="4" w:space="0"/>
              <w:right w:val="single" w:color="auto" w:sz="4" w:space="0"/>
            </w:tcBorders>
            <w:shd w:val="clear" w:color="auto" w:fill="auto"/>
            <w:noWrap/>
            <w:vAlign w:val="center"/>
          </w:tcPr>
          <w:p>
            <w:pPr>
              <w:jc w:val="right"/>
              <w:rPr>
                <w:color w:val="000000"/>
              </w:rPr>
            </w:pPr>
            <w:r>
              <w:rPr>
                <w:color w:val="000000"/>
              </w:rPr>
              <w:t>1,500,000.00</w:t>
            </w:r>
          </w:p>
        </w:tc>
        <w:tc>
          <w:tcPr>
            <w:tcW w:w="794" w:type="pct"/>
            <w:tcBorders>
              <w:top w:val="nil"/>
              <w:left w:val="nil"/>
              <w:bottom w:val="single" w:color="auto" w:sz="4" w:space="0"/>
              <w:right w:val="single" w:color="auto" w:sz="4" w:space="0"/>
            </w:tcBorders>
            <w:shd w:val="clear" w:color="auto" w:fill="auto"/>
            <w:noWrap/>
            <w:vAlign w:val="center"/>
          </w:tcPr>
          <w:p>
            <w:pPr>
              <w:jc w:val="right"/>
              <w:rPr>
                <w:color w:val="000000"/>
              </w:rPr>
            </w:pPr>
            <w:r>
              <w:rPr>
                <w:color w:val="000000"/>
              </w:rPr>
              <w:t>1,400,000.00</w:t>
            </w:r>
          </w:p>
        </w:tc>
        <w:tc>
          <w:tcPr>
            <w:tcW w:w="857" w:type="pct"/>
            <w:tcBorders>
              <w:top w:val="nil"/>
              <w:left w:val="nil"/>
              <w:bottom w:val="single" w:color="auto" w:sz="4" w:space="0"/>
              <w:right w:val="single" w:color="auto" w:sz="4" w:space="0"/>
            </w:tcBorders>
            <w:shd w:val="clear" w:color="auto" w:fill="auto"/>
            <w:noWrap/>
            <w:vAlign w:val="center"/>
          </w:tcPr>
          <w:p>
            <w:pPr>
              <w:jc w:val="right"/>
              <w:rPr>
                <w:color w:val="000000"/>
              </w:rPr>
            </w:pPr>
            <w:r>
              <w:rPr>
                <w:color w:val="000000"/>
              </w:rPr>
              <w:t>1,394,243.30</w:t>
            </w:r>
          </w:p>
        </w:tc>
        <w:tc>
          <w:tcPr>
            <w:tcW w:w="536" w:type="pct"/>
            <w:tcBorders>
              <w:top w:val="nil"/>
              <w:left w:val="nil"/>
              <w:bottom w:val="single" w:color="auto" w:sz="4" w:space="0"/>
              <w:right w:val="single" w:color="auto" w:sz="4" w:space="0"/>
            </w:tcBorders>
            <w:shd w:val="clear" w:color="auto" w:fill="auto"/>
            <w:noWrap/>
            <w:vAlign w:val="center"/>
          </w:tcPr>
          <w:p>
            <w:pPr>
              <w:jc w:val="right"/>
              <w:rPr>
                <w:color w:val="000000"/>
              </w:rPr>
            </w:pPr>
            <w:r>
              <w:rPr>
                <w:color w:val="000000"/>
              </w:rPr>
              <w:t>99.59%</w:t>
            </w:r>
          </w:p>
        </w:tc>
      </w:tr>
    </w:tbl>
    <w:p>
      <w:pPr>
        <w:spacing w:line="560" w:lineRule="exact"/>
        <w:ind w:firstLine="640"/>
        <w:rPr>
          <w:rFonts w:ascii="仿宋_GB2312" w:eastAsia="仿宋_GB2312"/>
          <w:sz w:val="32"/>
          <w:szCs w:val="32"/>
        </w:rPr>
      </w:pPr>
      <w:r>
        <w:rPr>
          <w:rFonts w:hint="eastAsia" w:ascii="仿宋_GB2312" w:eastAsia="仿宋_GB2312"/>
          <w:sz w:val="32"/>
          <w:szCs w:val="32"/>
        </w:rPr>
        <w:t>2</w:t>
      </w:r>
      <w:r>
        <w:rPr>
          <w:rFonts w:ascii="仿宋_GB2312" w:eastAsia="仿宋_GB2312"/>
          <w:sz w:val="32"/>
          <w:szCs w:val="32"/>
        </w:rPr>
        <w:t>.</w:t>
      </w:r>
      <w:r>
        <w:rPr>
          <w:rFonts w:hint="eastAsia" w:ascii="仿宋_GB2312" w:eastAsia="仿宋_GB2312"/>
          <w:sz w:val="32"/>
          <w:szCs w:val="32"/>
        </w:rPr>
        <w:t>项目资金管理情况</w:t>
      </w:r>
    </w:p>
    <w:p>
      <w:pPr>
        <w:pStyle w:val="3"/>
        <w:spacing w:before="0" w:line="560" w:lineRule="exact"/>
        <w:ind w:left="0" w:firstLine="640" w:firstLineChars="200"/>
        <w:jc w:val="both"/>
        <w:rPr>
          <w:spacing w:val="-1"/>
        </w:rPr>
      </w:pPr>
      <w:r>
        <w:rPr>
          <w:rFonts w:hint="eastAsia"/>
        </w:rPr>
        <w:t>为进一步加强项目经费管理，我校严格按照单位内控制度对项目经费的使用进行管理。在资金使用上严格按照《经费支出管理办法》规定的支出范围和标准执行。资金的使用设置了监管流程，有完善的支出审批制度，资金的拨付审批程序和手续完备。</w:t>
      </w:r>
      <w:r>
        <w:rPr>
          <w:rFonts w:hint="eastAsia"/>
          <w:spacing w:val="-1"/>
        </w:rPr>
        <w:t>项目实施过程中各项经费支出均按制度得到有效执行。</w:t>
      </w:r>
    </w:p>
    <w:p>
      <w:pPr>
        <w:snapToGrid w:val="0"/>
        <w:spacing w:line="560" w:lineRule="exact"/>
        <w:ind w:firstLine="643"/>
        <w:rPr>
          <w:rFonts w:ascii="楷体_GB2312" w:hAnsi="楷体_GB2312" w:eastAsia="楷体_GB2312" w:cs="楷体_GB2312"/>
          <w:b/>
          <w:color w:val="000000"/>
          <w:sz w:val="32"/>
          <w:szCs w:val="32"/>
        </w:rPr>
      </w:pPr>
      <w:r>
        <w:rPr>
          <w:rFonts w:hint="eastAsia" w:ascii="楷体_GB2312" w:hAnsi="楷体_GB2312" w:eastAsia="楷体_GB2312" w:cs="楷体_GB2312"/>
          <w:b/>
          <w:color w:val="000000"/>
          <w:sz w:val="32"/>
          <w:szCs w:val="32"/>
        </w:rPr>
        <w:t>（四）项目绩效目标及实现情况</w:t>
      </w:r>
    </w:p>
    <w:p>
      <w:pPr>
        <w:spacing w:line="560" w:lineRule="exact"/>
        <w:ind w:firstLine="640"/>
        <w:rPr>
          <w:rFonts w:ascii="仿宋_GB2312" w:eastAsia="仿宋_GB2312"/>
          <w:sz w:val="32"/>
          <w:szCs w:val="32"/>
        </w:rPr>
      </w:pPr>
      <w:r>
        <w:rPr>
          <w:rFonts w:hint="eastAsia" w:ascii="仿宋_GB2312" w:eastAsia="仿宋_GB2312"/>
          <w:sz w:val="32"/>
          <w:szCs w:val="32"/>
        </w:rPr>
        <w:t>1</w:t>
      </w:r>
      <w:r>
        <w:rPr>
          <w:rFonts w:ascii="仿宋_GB2312" w:eastAsia="仿宋_GB2312"/>
          <w:sz w:val="32"/>
          <w:szCs w:val="32"/>
        </w:rPr>
        <w:t>.</w:t>
      </w:r>
      <w:r>
        <w:rPr>
          <w:rFonts w:hint="eastAsia" w:ascii="仿宋_GB2312" w:eastAsia="仿宋_GB2312"/>
          <w:sz w:val="32"/>
          <w:szCs w:val="32"/>
        </w:rPr>
        <w:t>项目年度绩效目标</w:t>
      </w:r>
    </w:p>
    <w:p>
      <w:pPr>
        <w:spacing w:line="560" w:lineRule="exact"/>
        <w:ind w:firstLine="640"/>
        <w:rPr>
          <w:rFonts w:ascii="仿宋_GB2312" w:eastAsia="仿宋_GB2312"/>
          <w:sz w:val="32"/>
          <w:szCs w:val="32"/>
        </w:rPr>
      </w:pPr>
      <w:r>
        <w:rPr>
          <w:rFonts w:hint="eastAsia" w:ascii="仿宋_GB2312" w:eastAsia="仿宋_GB2312"/>
          <w:sz w:val="32"/>
          <w:szCs w:val="32"/>
        </w:rPr>
        <w:t>（1）新建设教学专业1个以上；</w:t>
      </w:r>
    </w:p>
    <w:p>
      <w:pPr>
        <w:spacing w:line="560" w:lineRule="exact"/>
        <w:ind w:firstLine="640"/>
        <w:rPr>
          <w:rFonts w:ascii="仿宋_GB2312" w:eastAsia="仿宋_GB2312"/>
          <w:sz w:val="32"/>
          <w:szCs w:val="32"/>
        </w:rPr>
      </w:pPr>
      <w:r>
        <w:rPr>
          <w:rFonts w:hint="eastAsia" w:ascii="仿宋_GB2312" w:eastAsia="仿宋_GB2312"/>
          <w:sz w:val="32"/>
          <w:szCs w:val="32"/>
        </w:rPr>
        <w:t>（2）及时组织教职工培训50人次以上，确保完成率80%以上。</w:t>
      </w:r>
    </w:p>
    <w:p>
      <w:pPr>
        <w:spacing w:line="560" w:lineRule="exact"/>
        <w:ind w:firstLine="640"/>
        <w:rPr>
          <w:rFonts w:ascii="仿宋_GB2312" w:eastAsia="仿宋_GB2312"/>
          <w:sz w:val="32"/>
          <w:szCs w:val="32"/>
        </w:rPr>
      </w:pPr>
      <w:r>
        <w:rPr>
          <w:rFonts w:hint="eastAsia" w:ascii="仿宋_GB2312" w:eastAsia="仿宋_GB2312"/>
          <w:sz w:val="32"/>
          <w:szCs w:val="32"/>
        </w:rPr>
        <w:t>具体目标如下表：</w:t>
      </w:r>
    </w:p>
    <w:tbl>
      <w:tblPr>
        <w:tblStyle w:val="8"/>
        <w:tblpPr w:leftFromText="180" w:rightFromText="180" w:vertAnchor="text" w:horzAnchor="margin" w:tblpY="20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7"/>
        <w:gridCol w:w="1990"/>
        <w:gridCol w:w="3123"/>
        <w:gridCol w:w="1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trPr>
        <w:tc>
          <w:tcPr>
            <w:tcW w:w="5000" w:type="pct"/>
            <w:gridSpan w:val="4"/>
            <w:tcBorders>
              <w:top w:val="nil"/>
              <w:left w:val="nil"/>
              <w:right w:val="nil"/>
            </w:tcBorders>
            <w:shd w:val="clear" w:color="auto" w:fill="auto"/>
            <w:noWrap/>
            <w:vAlign w:val="center"/>
          </w:tcPr>
          <w:p>
            <w:pPr>
              <w:jc w:val="center"/>
              <w:rPr>
                <w:rFonts w:ascii="宋体" w:hAnsi="宋体"/>
                <w:color w:val="000000"/>
              </w:rPr>
            </w:pPr>
            <w:r>
              <w:rPr>
                <w:rFonts w:hint="eastAsia" w:ascii="宋体" w:cs="仿宋_GB2312"/>
                <w:spacing w:val="-3"/>
              </w:rPr>
              <w:t>2022年现代职业教育质量提升计划资金项目年度绩效目标表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trPr>
        <w:tc>
          <w:tcPr>
            <w:tcW w:w="1001" w:type="pct"/>
            <w:shd w:val="clear" w:color="auto" w:fill="auto"/>
            <w:noWrap/>
            <w:vAlign w:val="center"/>
          </w:tcPr>
          <w:p>
            <w:pPr>
              <w:jc w:val="center"/>
              <w:rPr>
                <w:color w:val="000000"/>
              </w:rPr>
            </w:pPr>
            <w:r>
              <w:rPr>
                <w:rFonts w:hint="eastAsia" w:ascii="宋体" w:hAnsi="宋体"/>
                <w:color w:val="000000"/>
              </w:rPr>
              <w:t>一级指标</w:t>
            </w:r>
          </w:p>
        </w:tc>
        <w:tc>
          <w:tcPr>
            <w:tcW w:w="1167" w:type="pct"/>
            <w:shd w:val="clear" w:color="auto" w:fill="auto"/>
            <w:noWrap/>
            <w:vAlign w:val="center"/>
          </w:tcPr>
          <w:p>
            <w:pPr>
              <w:jc w:val="center"/>
              <w:rPr>
                <w:color w:val="000000"/>
              </w:rPr>
            </w:pPr>
            <w:r>
              <w:rPr>
                <w:rFonts w:hint="eastAsia" w:ascii="宋体" w:hAnsi="宋体"/>
                <w:color w:val="000000"/>
              </w:rPr>
              <w:t>二级指标</w:t>
            </w:r>
          </w:p>
        </w:tc>
        <w:tc>
          <w:tcPr>
            <w:tcW w:w="1831" w:type="pct"/>
            <w:shd w:val="clear" w:color="auto" w:fill="auto"/>
            <w:noWrap/>
            <w:vAlign w:val="center"/>
          </w:tcPr>
          <w:p>
            <w:pPr>
              <w:jc w:val="center"/>
              <w:rPr>
                <w:color w:val="000000"/>
              </w:rPr>
            </w:pPr>
            <w:r>
              <w:rPr>
                <w:rFonts w:hint="eastAsia" w:ascii="宋体" w:hAnsi="宋体"/>
                <w:color w:val="000000"/>
              </w:rPr>
              <w:t>三级指标</w:t>
            </w:r>
          </w:p>
        </w:tc>
        <w:tc>
          <w:tcPr>
            <w:tcW w:w="1001" w:type="pct"/>
            <w:shd w:val="clear" w:color="auto" w:fill="auto"/>
            <w:noWrap/>
            <w:vAlign w:val="center"/>
          </w:tcPr>
          <w:p>
            <w:pPr>
              <w:jc w:val="center"/>
              <w:rPr>
                <w:color w:val="000000"/>
              </w:rPr>
            </w:pPr>
            <w:r>
              <w:rPr>
                <w:rFonts w:hint="eastAsia" w:ascii="宋体" w:hAnsi="宋体"/>
                <w:color w:val="000000"/>
              </w:rPr>
              <w:t>年度指标值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01" w:type="pct"/>
            <w:vMerge w:val="restart"/>
            <w:shd w:val="clear" w:color="auto" w:fill="auto"/>
            <w:vAlign w:val="center"/>
          </w:tcPr>
          <w:p>
            <w:pPr>
              <w:jc w:val="center"/>
            </w:pPr>
            <w:r>
              <w:rPr>
                <w:rFonts w:hint="eastAsia" w:ascii="宋体" w:hAnsi="宋体"/>
              </w:rPr>
              <w:t>产出指标</w:t>
            </w:r>
            <w:r>
              <w:br w:type="textWrapping"/>
            </w:r>
            <w:r>
              <w:rPr>
                <w:rFonts w:hint="eastAsia" w:ascii="宋体" w:hAnsi="宋体"/>
              </w:rPr>
              <w:t>（</w:t>
            </w:r>
            <w:r>
              <w:t>50</w:t>
            </w:r>
            <w:r>
              <w:rPr>
                <w:rFonts w:hint="eastAsia" w:ascii="宋体" w:hAnsi="宋体"/>
              </w:rPr>
              <w:t>分）</w:t>
            </w:r>
          </w:p>
        </w:tc>
        <w:tc>
          <w:tcPr>
            <w:tcW w:w="1167" w:type="pct"/>
            <w:vMerge w:val="restart"/>
            <w:shd w:val="clear" w:color="auto" w:fill="auto"/>
            <w:noWrap/>
            <w:vAlign w:val="center"/>
          </w:tcPr>
          <w:p>
            <w:r>
              <w:rPr>
                <w:rFonts w:hint="eastAsia" w:ascii="宋体" w:hAnsi="宋体"/>
              </w:rPr>
              <w:t>数量指标</w:t>
            </w:r>
          </w:p>
        </w:tc>
        <w:tc>
          <w:tcPr>
            <w:tcW w:w="1831" w:type="pct"/>
            <w:shd w:val="clear" w:color="auto" w:fill="auto"/>
            <w:vAlign w:val="center"/>
          </w:tcPr>
          <w:p>
            <w:pPr>
              <w:jc w:val="left"/>
              <w:rPr>
                <w:rFonts w:ascii="宋体" w:hAnsi="宋体"/>
                <w:color w:val="000000"/>
              </w:rPr>
            </w:pPr>
            <w:r>
              <w:rPr>
                <w:rFonts w:hint="eastAsia"/>
                <w:color w:val="000000"/>
              </w:rPr>
              <w:t>参加培训教职工人次</w:t>
            </w:r>
          </w:p>
        </w:tc>
        <w:tc>
          <w:tcPr>
            <w:tcW w:w="1001" w:type="pct"/>
            <w:shd w:val="clear" w:color="auto" w:fill="auto"/>
            <w:noWrap/>
            <w:vAlign w:val="center"/>
          </w:tcPr>
          <w:p>
            <w:pPr>
              <w:jc w:val="center"/>
              <w:rPr>
                <w:color w:val="000000"/>
              </w:rPr>
            </w:pPr>
            <w:r>
              <w:rPr>
                <w:color w:val="000000"/>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01" w:type="pct"/>
            <w:vMerge w:val="continue"/>
            <w:shd w:val="clear" w:color="auto" w:fill="auto"/>
            <w:vAlign w:val="center"/>
          </w:tcPr>
          <w:p>
            <w:pPr>
              <w:jc w:val="center"/>
              <w:rPr>
                <w:rFonts w:ascii="宋体" w:hAnsi="宋体"/>
              </w:rPr>
            </w:pPr>
          </w:p>
        </w:tc>
        <w:tc>
          <w:tcPr>
            <w:tcW w:w="1167" w:type="pct"/>
            <w:vMerge w:val="continue"/>
            <w:shd w:val="clear" w:color="auto" w:fill="auto"/>
            <w:noWrap/>
            <w:vAlign w:val="center"/>
          </w:tcPr>
          <w:p>
            <w:pPr>
              <w:rPr>
                <w:rFonts w:ascii="宋体" w:hAnsi="宋体"/>
              </w:rPr>
            </w:pPr>
          </w:p>
        </w:tc>
        <w:tc>
          <w:tcPr>
            <w:tcW w:w="1831" w:type="pct"/>
            <w:shd w:val="clear" w:color="auto" w:fill="auto"/>
            <w:vAlign w:val="center"/>
          </w:tcPr>
          <w:p>
            <w:pPr>
              <w:jc w:val="left"/>
              <w:rPr>
                <w:color w:val="000000"/>
              </w:rPr>
            </w:pPr>
            <w:r>
              <w:rPr>
                <w:rFonts w:hint="eastAsia"/>
                <w:color w:val="000000"/>
              </w:rPr>
              <w:t>新建设教学专业</w:t>
            </w:r>
          </w:p>
        </w:tc>
        <w:tc>
          <w:tcPr>
            <w:tcW w:w="1001" w:type="pct"/>
            <w:shd w:val="clear" w:color="auto" w:fill="auto"/>
            <w:noWrap/>
            <w:vAlign w:val="center"/>
          </w:tcPr>
          <w:p>
            <w:pPr>
              <w:jc w:val="center"/>
              <w:rPr>
                <w:color w:val="000000"/>
              </w:rPr>
            </w:pPr>
            <w:r>
              <w:rPr>
                <w:color w:val="00000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01" w:type="pct"/>
            <w:vMerge w:val="continue"/>
            <w:vAlign w:val="center"/>
          </w:tcPr>
          <w:p>
            <w:pPr>
              <w:jc w:val="left"/>
            </w:pPr>
          </w:p>
        </w:tc>
        <w:tc>
          <w:tcPr>
            <w:tcW w:w="1167" w:type="pct"/>
            <w:vMerge w:val="restart"/>
            <w:shd w:val="clear" w:color="auto" w:fill="auto"/>
            <w:noWrap/>
            <w:vAlign w:val="center"/>
          </w:tcPr>
          <w:p>
            <w:r>
              <w:rPr>
                <w:rFonts w:hint="eastAsia" w:ascii="宋体" w:hAnsi="宋体"/>
              </w:rPr>
              <w:t>质量指标</w:t>
            </w:r>
          </w:p>
        </w:tc>
        <w:tc>
          <w:tcPr>
            <w:tcW w:w="1831" w:type="pct"/>
            <w:shd w:val="clear" w:color="auto" w:fill="auto"/>
            <w:vAlign w:val="center"/>
          </w:tcPr>
          <w:p>
            <w:r>
              <w:rPr>
                <w:rFonts w:hint="eastAsia"/>
              </w:rPr>
              <w:t>培训出勤率</w:t>
            </w:r>
          </w:p>
        </w:tc>
        <w:tc>
          <w:tcPr>
            <w:tcW w:w="1001" w:type="pct"/>
            <w:shd w:val="clear" w:color="auto" w:fill="auto"/>
            <w:vAlign w:val="center"/>
          </w:tcPr>
          <w:p>
            <w:pPr>
              <w:jc w:val="center"/>
              <w:rPr>
                <w:color w:val="000000"/>
              </w:rPr>
            </w:pPr>
            <w:r>
              <w:rPr>
                <w:color w:val="000000"/>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01" w:type="pct"/>
            <w:vMerge w:val="continue"/>
            <w:vAlign w:val="center"/>
          </w:tcPr>
          <w:p>
            <w:pPr>
              <w:jc w:val="left"/>
            </w:pPr>
          </w:p>
        </w:tc>
        <w:tc>
          <w:tcPr>
            <w:tcW w:w="1167" w:type="pct"/>
            <w:vMerge w:val="continue"/>
            <w:shd w:val="clear" w:color="auto" w:fill="auto"/>
            <w:noWrap/>
            <w:vAlign w:val="center"/>
          </w:tcPr>
          <w:p>
            <w:pPr>
              <w:rPr>
                <w:rFonts w:ascii="宋体" w:hAnsi="宋体"/>
              </w:rPr>
            </w:pPr>
          </w:p>
        </w:tc>
        <w:tc>
          <w:tcPr>
            <w:tcW w:w="1831" w:type="pct"/>
            <w:shd w:val="clear" w:color="auto" w:fill="auto"/>
            <w:vAlign w:val="center"/>
          </w:tcPr>
          <w:p>
            <w:r>
              <w:rPr>
                <w:rFonts w:hint="eastAsia"/>
              </w:rPr>
              <w:t>验收合格率</w:t>
            </w:r>
          </w:p>
        </w:tc>
        <w:tc>
          <w:tcPr>
            <w:tcW w:w="1001" w:type="pct"/>
            <w:shd w:val="clear" w:color="auto" w:fill="auto"/>
            <w:vAlign w:val="center"/>
          </w:tcPr>
          <w:p>
            <w:pPr>
              <w:jc w:val="center"/>
              <w:rPr>
                <w:color w:val="000000"/>
              </w:rPr>
            </w:pPr>
            <w:r>
              <w:rPr>
                <w:color w:val="000000"/>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01" w:type="pct"/>
            <w:vMerge w:val="continue"/>
            <w:vAlign w:val="center"/>
          </w:tcPr>
          <w:p>
            <w:pPr>
              <w:jc w:val="left"/>
            </w:pPr>
          </w:p>
        </w:tc>
        <w:tc>
          <w:tcPr>
            <w:tcW w:w="1167" w:type="pct"/>
            <w:vMerge w:val="restart"/>
            <w:shd w:val="clear" w:color="auto" w:fill="auto"/>
            <w:noWrap/>
            <w:vAlign w:val="center"/>
          </w:tcPr>
          <w:p>
            <w:r>
              <w:rPr>
                <w:rFonts w:hint="eastAsia" w:ascii="宋体" w:hAnsi="宋体"/>
              </w:rPr>
              <w:t>时效指标</w:t>
            </w:r>
          </w:p>
        </w:tc>
        <w:tc>
          <w:tcPr>
            <w:tcW w:w="1831" w:type="pct"/>
            <w:shd w:val="clear" w:color="auto" w:fill="auto"/>
            <w:vAlign w:val="center"/>
          </w:tcPr>
          <w:p>
            <w:r>
              <w:rPr>
                <w:rFonts w:hint="eastAsia"/>
              </w:rPr>
              <w:t>组织教职工培训及时性</w:t>
            </w:r>
          </w:p>
        </w:tc>
        <w:tc>
          <w:tcPr>
            <w:tcW w:w="1001" w:type="pct"/>
            <w:shd w:val="clear" w:color="auto" w:fill="auto"/>
            <w:vAlign w:val="center"/>
          </w:tcPr>
          <w:p>
            <w:pPr>
              <w:jc w:val="center"/>
              <w:rPr>
                <w:color w:val="000000"/>
              </w:rPr>
            </w:pPr>
            <w:r>
              <w:rPr>
                <w:rFonts w:hint="eastAsia"/>
                <w:color w:val="000000"/>
              </w:rPr>
              <w:t>及时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01" w:type="pct"/>
            <w:vMerge w:val="continue"/>
            <w:vAlign w:val="center"/>
          </w:tcPr>
          <w:p>
            <w:pPr>
              <w:jc w:val="left"/>
            </w:pPr>
          </w:p>
        </w:tc>
        <w:tc>
          <w:tcPr>
            <w:tcW w:w="1167" w:type="pct"/>
            <w:vMerge w:val="continue"/>
            <w:shd w:val="clear" w:color="auto" w:fill="auto"/>
            <w:noWrap/>
            <w:vAlign w:val="center"/>
          </w:tcPr>
          <w:p>
            <w:pPr>
              <w:rPr>
                <w:rFonts w:ascii="宋体" w:hAnsi="宋体"/>
              </w:rPr>
            </w:pPr>
          </w:p>
        </w:tc>
        <w:tc>
          <w:tcPr>
            <w:tcW w:w="1831" w:type="pct"/>
            <w:shd w:val="clear" w:color="auto" w:fill="auto"/>
            <w:vAlign w:val="center"/>
          </w:tcPr>
          <w:p>
            <w:r>
              <w:rPr>
                <w:rFonts w:hint="eastAsia"/>
              </w:rPr>
              <w:t>采购及时性</w:t>
            </w:r>
          </w:p>
        </w:tc>
        <w:tc>
          <w:tcPr>
            <w:tcW w:w="1001" w:type="pct"/>
            <w:shd w:val="clear" w:color="auto" w:fill="auto"/>
            <w:vAlign w:val="center"/>
          </w:tcPr>
          <w:p>
            <w:pPr>
              <w:jc w:val="center"/>
              <w:rPr>
                <w:color w:val="000000"/>
              </w:rPr>
            </w:pPr>
            <w:r>
              <w:rPr>
                <w:rFonts w:hint="eastAsia"/>
                <w:color w:val="000000"/>
              </w:rPr>
              <w:t>及时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01" w:type="pct"/>
            <w:vMerge w:val="continue"/>
            <w:vAlign w:val="center"/>
          </w:tcPr>
          <w:p>
            <w:pPr>
              <w:jc w:val="left"/>
            </w:pPr>
          </w:p>
        </w:tc>
        <w:tc>
          <w:tcPr>
            <w:tcW w:w="1167" w:type="pct"/>
            <w:shd w:val="clear" w:color="auto" w:fill="auto"/>
            <w:noWrap/>
            <w:vAlign w:val="center"/>
          </w:tcPr>
          <w:p>
            <w:r>
              <w:rPr>
                <w:rFonts w:hint="eastAsia" w:ascii="宋体" w:hAnsi="宋体"/>
              </w:rPr>
              <w:t>成本指标</w:t>
            </w:r>
          </w:p>
        </w:tc>
        <w:tc>
          <w:tcPr>
            <w:tcW w:w="1831" w:type="pct"/>
            <w:shd w:val="clear" w:color="auto" w:fill="auto"/>
            <w:vAlign w:val="center"/>
          </w:tcPr>
          <w:p>
            <w:pPr>
              <w:jc w:val="left"/>
              <w:rPr>
                <w:rFonts w:ascii="宋体" w:hAnsi="宋体"/>
                <w:color w:val="000000"/>
              </w:rPr>
            </w:pPr>
            <w:r>
              <w:rPr>
                <w:rFonts w:hint="eastAsia"/>
                <w:color w:val="000000"/>
              </w:rPr>
              <w:t>项目预算金额</w:t>
            </w:r>
          </w:p>
        </w:tc>
        <w:tc>
          <w:tcPr>
            <w:tcW w:w="1001" w:type="pct"/>
            <w:shd w:val="clear" w:color="auto" w:fill="auto"/>
            <w:vAlign w:val="center"/>
          </w:tcPr>
          <w:p>
            <w:pPr>
              <w:jc w:val="center"/>
              <w:rPr>
                <w:color w:val="000000"/>
              </w:rPr>
            </w:pPr>
            <w:r>
              <w:rPr>
                <w:rFonts w:hint="eastAsia"/>
                <w:color w:val="000000"/>
              </w:rPr>
              <w:t>1</w:t>
            </w:r>
            <w:r>
              <w:rPr>
                <w:color w:val="000000"/>
              </w:rPr>
              <w:t>50</w:t>
            </w:r>
            <w:r>
              <w:rPr>
                <w:rFonts w:hint="eastAsia"/>
                <w:color w:val="000000"/>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01" w:type="pct"/>
            <w:vAlign w:val="center"/>
          </w:tcPr>
          <w:p>
            <w:pPr>
              <w:jc w:val="center"/>
            </w:pPr>
            <w:r>
              <w:t>效益指标</w:t>
            </w:r>
            <w:r>
              <w:br w:type="textWrapping"/>
            </w:r>
            <w:r>
              <w:t>（30分）</w:t>
            </w:r>
          </w:p>
        </w:tc>
        <w:tc>
          <w:tcPr>
            <w:tcW w:w="1167" w:type="pct"/>
            <w:shd w:val="clear" w:color="auto" w:fill="auto"/>
            <w:noWrap/>
            <w:vAlign w:val="center"/>
          </w:tcPr>
          <w:p>
            <w:r>
              <w:rPr>
                <w:rFonts w:hint="eastAsia" w:ascii="宋体" w:hAnsi="宋体"/>
              </w:rPr>
              <w:t>社会效益指标</w:t>
            </w:r>
          </w:p>
        </w:tc>
        <w:tc>
          <w:tcPr>
            <w:tcW w:w="1831" w:type="pct"/>
            <w:shd w:val="clear" w:color="auto" w:fill="auto"/>
            <w:vAlign w:val="center"/>
          </w:tcPr>
          <w:p>
            <w:pPr>
              <w:jc w:val="left"/>
              <w:rPr>
                <w:color w:val="000000"/>
              </w:rPr>
            </w:pPr>
            <w:r>
              <w:rPr>
                <w:rFonts w:hint="eastAsia"/>
                <w:color w:val="000000"/>
              </w:rPr>
              <w:t>技能人才培养能力</w:t>
            </w:r>
          </w:p>
        </w:tc>
        <w:tc>
          <w:tcPr>
            <w:tcW w:w="1001" w:type="pct"/>
            <w:shd w:val="clear" w:color="auto" w:fill="auto"/>
            <w:vAlign w:val="center"/>
          </w:tcPr>
          <w:p>
            <w:pPr>
              <w:jc w:val="center"/>
              <w:rPr>
                <w:color w:val="000000"/>
              </w:rPr>
            </w:pPr>
            <w:r>
              <w:rPr>
                <w:rFonts w:hint="eastAsia"/>
                <w:color w:val="000000"/>
              </w:rPr>
              <w:t>增强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01" w:type="pct"/>
            <w:vAlign w:val="center"/>
          </w:tcPr>
          <w:p>
            <w:pPr>
              <w:jc w:val="center"/>
            </w:pPr>
            <w:r>
              <w:t>满意度指标</w:t>
            </w:r>
            <w:r>
              <w:br w:type="textWrapping"/>
            </w:r>
            <w:r>
              <w:t>（10分）</w:t>
            </w:r>
          </w:p>
        </w:tc>
        <w:tc>
          <w:tcPr>
            <w:tcW w:w="1167" w:type="pct"/>
            <w:shd w:val="clear" w:color="auto" w:fill="auto"/>
            <w:noWrap/>
            <w:vAlign w:val="center"/>
          </w:tcPr>
          <w:p>
            <w:r>
              <w:rPr>
                <w:rFonts w:hint="eastAsia" w:ascii="宋体" w:hAnsi="宋体"/>
              </w:rPr>
              <w:t>满意度指标</w:t>
            </w:r>
          </w:p>
        </w:tc>
        <w:tc>
          <w:tcPr>
            <w:tcW w:w="1831" w:type="pct"/>
            <w:shd w:val="clear" w:color="auto" w:fill="auto"/>
            <w:vAlign w:val="center"/>
          </w:tcPr>
          <w:p>
            <w:pPr>
              <w:jc w:val="left"/>
              <w:rPr>
                <w:color w:val="000000"/>
              </w:rPr>
            </w:pPr>
            <w:r>
              <w:rPr>
                <w:rFonts w:hint="eastAsia"/>
                <w:color w:val="000000"/>
              </w:rPr>
              <w:t>教职工培训满意度</w:t>
            </w:r>
          </w:p>
        </w:tc>
        <w:tc>
          <w:tcPr>
            <w:tcW w:w="1001" w:type="pct"/>
            <w:shd w:val="clear" w:color="auto" w:fill="auto"/>
            <w:vAlign w:val="center"/>
          </w:tcPr>
          <w:p>
            <w:pPr>
              <w:jc w:val="center"/>
              <w:rPr>
                <w:color w:val="000000"/>
              </w:rPr>
            </w:pPr>
            <w:r>
              <w:rPr>
                <w:color w:val="000000"/>
              </w:rPr>
              <w:t>≥90%</w:t>
            </w:r>
          </w:p>
        </w:tc>
      </w:tr>
    </w:tbl>
    <w:p>
      <w:pPr>
        <w:spacing w:before="156" w:beforeLines="50" w:line="560" w:lineRule="exact"/>
        <w:ind w:firstLine="641"/>
        <w:rPr>
          <w:rFonts w:ascii="仿宋_GB2312" w:eastAsia="仿宋_GB2312"/>
          <w:sz w:val="32"/>
          <w:szCs w:val="32"/>
        </w:rPr>
      </w:pPr>
      <w:r>
        <w:rPr>
          <w:rFonts w:hint="eastAsia" w:ascii="仿宋_GB2312" w:eastAsia="仿宋_GB2312"/>
          <w:sz w:val="32"/>
          <w:szCs w:val="32"/>
        </w:rPr>
        <w:t>2</w:t>
      </w:r>
      <w:r>
        <w:rPr>
          <w:rFonts w:ascii="仿宋_GB2312" w:eastAsia="仿宋_GB2312"/>
          <w:sz w:val="32"/>
          <w:szCs w:val="32"/>
        </w:rPr>
        <w:t>.</w:t>
      </w:r>
      <w:r>
        <w:rPr>
          <w:rFonts w:hint="eastAsia" w:ascii="仿宋_GB2312" w:eastAsia="仿宋_GB2312"/>
          <w:sz w:val="32"/>
          <w:szCs w:val="32"/>
        </w:rPr>
        <w:t>绩效目标实现情况</w:t>
      </w:r>
    </w:p>
    <w:p>
      <w:pPr>
        <w:spacing w:line="560" w:lineRule="exact"/>
        <w:ind w:firstLine="641"/>
        <w:rPr>
          <w:rFonts w:ascii="仿宋_GB2312" w:eastAsia="仿宋_GB2312"/>
          <w:sz w:val="32"/>
          <w:szCs w:val="32"/>
        </w:rPr>
      </w:pPr>
      <w:r>
        <w:rPr>
          <w:rFonts w:hint="eastAsia" w:ascii="仿宋_GB2312" w:eastAsia="仿宋_GB2312"/>
          <w:sz w:val="32"/>
          <w:szCs w:val="32"/>
        </w:rPr>
        <w:t>2</w:t>
      </w:r>
      <w:r>
        <w:rPr>
          <w:rFonts w:ascii="仿宋_GB2312" w:eastAsia="仿宋_GB2312"/>
          <w:sz w:val="32"/>
          <w:szCs w:val="32"/>
        </w:rPr>
        <w:t>022</w:t>
      </w:r>
      <w:r>
        <w:rPr>
          <w:rFonts w:hint="eastAsia" w:ascii="仿宋_GB2312" w:eastAsia="仿宋_GB2312"/>
          <w:sz w:val="32"/>
          <w:szCs w:val="32"/>
        </w:rPr>
        <w:t>年新建设教学专业2个；及时组织教职工培训110人次，超额完成计划。在业务培训方面，人事处协助教职工及时调整受疫情而取消的培训业务，保证培训工作顺利开展，培训出勤率、验收率均完成年度目标。项目支出在预算范围内，未超支。通过现代职业教育质量提升计划，学院增强了技能人才培养能力。</w:t>
      </w:r>
    </w:p>
    <w:p>
      <w:pPr>
        <w:snapToGrid w:val="0"/>
        <w:spacing w:line="560" w:lineRule="exact"/>
        <w:ind w:firstLine="640"/>
        <w:rPr>
          <w:rFonts w:ascii="黑体" w:hAnsi="黑体" w:eastAsia="黑体" w:cs="黑体"/>
          <w:sz w:val="32"/>
          <w:szCs w:val="32"/>
        </w:rPr>
      </w:pPr>
      <w:r>
        <w:rPr>
          <w:rFonts w:hint="eastAsia" w:ascii="黑体" w:hAnsi="黑体" w:eastAsia="黑体" w:cs="黑体"/>
          <w:sz w:val="32"/>
          <w:szCs w:val="32"/>
        </w:rPr>
        <w:t>二、项目绩效评价结论和分析</w:t>
      </w:r>
    </w:p>
    <w:p>
      <w:pPr>
        <w:snapToGrid w:val="0"/>
        <w:spacing w:line="560" w:lineRule="exact"/>
        <w:ind w:firstLine="643"/>
        <w:rPr>
          <w:rFonts w:ascii="楷体_GB2312" w:hAnsi="楷体_GB2312" w:eastAsia="楷体_GB2312" w:cs="楷体_GB2312"/>
          <w:b/>
          <w:color w:val="000000"/>
          <w:sz w:val="32"/>
          <w:szCs w:val="32"/>
        </w:rPr>
      </w:pPr>
      <w:r>
        <w:rPr>
          <w:rFonts w:hint="eastAsia" w:ascii="楷体_GB2312" w:hAnsi="楷体_GB2312" w:eastAsia="楷体_GB2312" w:cs="楷体_GB2312"/>
          <w:b/>
          <w:color w:val="000000"/>
          <w:sz w:val="32"/>
          <w:szCs w:val="32"/>
        </w:rPr>
        <w:t>（一）项目绩效评价结论</w:t>
      </w:r>
    </w:p>
    <w:p>
      <w:pPr>
        <w:spacing w:line="560" w:lineRule="exact"/>
        <w:ind w:firstLine="640"/>
        <w:rPr>
          <w:rFonts w:ascii="仿宋_GB2312" w:eastAsia="仿宋_GB2312"/>
          <w:sz w:val="32"/>
          <w:szCs w:val="32"/>
        </w:rPr>
      </w:pPr>
      <w:r>
        <w:rPr>
          <w:rFonts w:hint="eastAsia" w:ascii="仿宋_GB2312" w:eastAsia="仿宋_GB2312"/>
          <w:sz w:val="32"/>
          <w:szCs w:val="32"/>
        </w:rPr>
        <w:t>本次项目评价从项目决策、项目管理、项目绩效三个维度设置相应的评价指标，综合考虑投入、产出、效果、影响力等各方面因素，通过资料整理及分析得出项目评价结果。经评价，总体上本项目实施规范到位，产出绩效达标。</w:t>
      </w:r>
    </w:p>
    <w:p>
      <w:pPr>
        <w:snapToGrid w:val="0"/>
        <w:spacing w:line="560" w:lineRule="exact"/>
        <w:ind w:firstLine="643"/>
        <w:rPr>
          <w:rFonts w:ascii="楷体_GB2312" w:hAnsi="楷体_GB2312" w:eastAsia="楷体_GB2312" w:cs="楷体_GB2312"/>
          <w:b/>
          <w:color w:val="000000"/>
          <w:sz w:val="32"/>
          <w:szCs w:val="32"/>
        </w:rPr>
      </w:pPr>
      <w:r>
        <w:rPr>
          <w:rFonts w:hint="eastAsia" w:ascii="楷体_GB2312" w:hAnsi="楷体_GB2312" w:eastAsia="楷体_GB2312" w:cs="楷体_GB2312"/>
          <w:b/>
          <w:color w:val="000000"/>
          <w:sz w:val="32"/>
          <w:szCs w:val="32"/>
        </w:rPr>
        <w:t>（二）绩效评价指标分析</w:t>
      </w:r>
    </w:p>
    <w:p>
      <w:pPr>
        <w:spacing w:line="560" w:lineRule="exact"/>
        <w:ind w:firstLine="640"/>
        <w:rPr>
          <w:rFonts w:ascii="仿宋_GB2312" w:eastAsia="仿宋_GB2312"/>
          <w:sz w:val="32"/>
          <w:szCs w:val="32"/>
        </w:rPr>
      </w:pPr>
      <w:r>
        <w:rPr>
          <w:rFonts w:hint="eastAsia" w:ascii="仿宋_GB2312" w:eastAsia="仿宋_GB2312"/>
          <w:sz w:val="32"/>
          <w:szCs w:val="32"/>
        </w:rPr>
        <w:t>1.项目决策分析</w:t>
      </w:r>
    </w:p>
    <w:p>
      <w:pPr>
        <w:spacing w:line="560" w:lineRule="exact"/>
        <w:ind w:firstLine="640"/>
        <w:rPr>
          <w:rFonts w:ascii="仿宋_GB2312" w:eastAsia="仿宋_GB2312"/>
          <w:sz w:val="32"/>
          <w:szCs w:val="32"/>
        </w:rPr>
      </w:pPr>
      <w:r>
        <w:rPr>
          <w:rFonts w:hint="eastAsia" w:ascii="仿宋_GB2312" w:eastAsia="仿宋_GB2312"/>
          <w:sz w:val="32"/>
          <w:szCs w:val="32"/>
        </w:rPr>
        <w:t>根据《现代职业教育质量提升计划资金管理办法》（财教〔2021〕270 号）等有关要求，结合我校商贸学院申报供应链运营和商务数据分析两个新专业的现实情况，我校将改善办学条件资金安排给商贸学院，用于两个新专业实训设备购置；将教师素质提高计划奖补资金安排给人事处，用于教师培训支出。商贸学院、人事处通过本项目组织开展工作，与学院学科建设、发展方向相符，本项目决策程序合规并履行相应手续，项目立项依据充分。</w:t>
      </w:r>
    </w:p>
    <w:p>
      <w:pPr>
        <w:spacing w:line="560" w:lineRule="exact"/>
        <w:ind w:firstLine="640"/>
        <w:rPr>
          <w:rFonts w:ascii="仿宋_GB2312" w:eastAsia="仿宋_GB2312"/>
          <w:sz w:val="32"/>
          <w:szCs w:val="32"/>
        </w:rPr>
      </w:pPr>
      <w:r>
        <w:rPr>
          <w:rFonts w:hint="eastAsia" w:ascii="仿宋_GB2312" w:eastAsia="仿宋_GB2312"/>
          <w:sz w:val="32"/>
          <w:szCs w:val="32"/>
        </w:rPr>
        <w:t>商贸学院、人事处在本项目预算编制时结合项目实际工作内容，制定了项目的总体目标并分解项目具体目标和量化绩效指标。绩效目标的设置能够与预算确定的资金量所匹配，并且与实际工作内容具有关联性。但同时指标设置上存在绩效指标值设置偏低的问题，如可以将“参加培训教职工人次”指标值设置更合理些。</w:t>
      </w:r>
    </w:p>
    <w:p>
      <w:pPr>
        <w:spacing w:line="560" w:lineRule="exact"/>
        <w:ind w:firstLine="640"/>
        <w:rPr>
          <w:rFonts w:ascii="仿宋_GB2312" w:eastAsia="仿宋_GB2312"/>
          <w:sz w:val="32"/>
          <w:szCs w:val="32"/>
        </w:rPr>
      </w:pPr>
      <w:r>
        <w:rPr>
          <w:rFonts w:hint="eastAsia" w:ascii="仿宋_GB2312" w:eastAsia="仿宋_GB2312"/>
          <w:sz w:val="32"/>
          <w:szCs w:val="32"/>
        </w:rPr>
        <w:t>2</w:t>
      </w:r>
      <w:r>
        <w:rPr>
          <w:rFonts w:ascii="仿宋_GB2312" w:eastAsia="仿宋_GB2312"/>
          <w:sz w:val="32"/>
          <w:szCs w:val="32"/>
        </w:rPr>
        <w:t>.</w:t>
      </w:r>
      <w:r>
        <w:rPr>
          <w:rFonts w:hint="eastAsia" w:ascii="仿宋_GB2312" w:eastAsia="仿宋_GB2312"/>
          <w:sz w:val="32"/>
          <w:szCs w:val="32"/>
        </w:rPr>
        <w:t>项目管理分析</w:t>
      </w:r>
    </w:p>
    <w:p>
      <w:pPr>
        <w:spacing w:line="560" w:lineRule="exact"/>
        <w:ind w:firstLine="640"/>
        <w:rPr>
          <w:rFonts w:ascii="仿宋_GB2312" w:eastAsia="仿宋_GB2312"/>
          <w:sz w:val="32"/>
          <w:szCs w:val="32"/>
        </w:rPr>
      </w:pPr>
      <w:r>
        <w:rPr>
          <w:rFonts w:hint="eastAsia" w:ascii="仿宋_GB2312" w:eastAsia="仿宋_GB2312"/>
          <w:sz w:val="32"/>
          <w:szCs w:val="32"/>
        </w:rPr>
        <w:t>本项目年初预算150万元，调整预算数140万元，相应的资金额度在年初均100%到位，资金到位及时。年中各项工作有序开展，未出现因资金问题导致项目进度延后的情况。</w:t>
      </w:r>
    </w:p>
    <w:p>
      <w:pPr>
        <w:spacing w:line="560" w:lineRule="exact"/>
        <w:ind w:firstLine="640"/>
        <w:rPr>
          <w:rFonts w:ascii="仿宋_GB2312" w:eastAsia="仿宋_GB2312"/>
          <w:sz w:val="32"/>
          <w:szCs w:val="32"/>
        </w:rPr>
      </w:pPr>
      <w:r>
        <w:rPr>
          <w:rFonts w:hint="eastAsia" w:ascii="仿宋_GB2312" w:eastAsia="仿宋_GB2312"/>
          <w:sz w:val="32"/>
          <w:szCs w:val="32"/>
        </w:rPr>
        <w:t>项目实施过程中，我校严格按照要求执行，全年未出现超范围、超标准使用资金的情况。本项目旨在大力推进建设商贸学院供应链运营和商务数据分析两个新兴专业和提高教师素质，项目相关的申请、审核、组织实施、合同签订、考核验收等程序规范。本项目由我校主管，具体由商贸学院、人事处统筹建设，项目责任主体健全，职责分工明确。项目执行期间严格执行我校财务管理制度、政府采购管理制度等相关规定，项目支出严格实行预算控制与支出范围、支出标准规定相结合。各项费用支出服从部门预算，严禁无预算、无计划的开支，严禁各项开支相互挤占挪用，有效保障了本项目资金使用的规范性和安全性。</w:t>
      </w:r>
    </w:p>
    <w:p>
      <w:pPr>
        <w:spacing w:line="560" w:lineRule="exact"/>
        <w:ind w:firstLine="640"/>
        <w:rPr>
          <w:rFonts w:ascii="仿宋_GB2312" w:eastAsia="仿宋_GB2312"/>
          <w:sz w:val="32"/>
          <w:szCs w:val="32"/>
        </w:rPr>
      </w:pPr>
      <w:r>
        <w:rPr>
          <w:rFonts w:hint="eastAsia" w:ascii="仿宋_GB2312" w:eastAsia="仿宋_GB2312"/>
          <w:sz w:val="32"/>
          <w:szCs w:val="32"/>
        </w:rPr>
        <w:t>3</w:t>
      </w:r>
      <w:r>
        <w:rPr>
          <w:rFonts w:ascii="仿宋_GB2312" w:eastAsia="仿宋_GB2312"/>
          <w:sz w:val="32"/>
          <w:szCs w:val="32"/>
        </w:rPr>
        <w:t>.</w:t>
      </w:r>
      <w:r>
        <w:rPr>
          <w:rFonts w:hint="eastAsia" w:ascii="仿宋_GB2312" w:eastAsia="仿宋_GB2312"/>
          <w:sz w:val="32"/>
          <w:szCs w:val="32"/>
        </w:rPr>
        <w:t>项目绩效分析</w:t>
      </w:r>
    </w:p>
    <w:p>
      <w:pPr>
        <w:spacing w:line="560" w:lineRule="exact"/>
        <w:ind w:firstLine="640"/>
        <w:rPr>
          <w:rFonts w:ascii="仿宋_GB2312" w:eastAsia="仿宋_GB2312"/>
          <w:sz w:val="32"/>
          <w:szCs w:val="32"/>
        </w:rPr>
      </w:pPr>
      <w:r>
        <w:rPr>
          <w:rFonts w:hint="eastAsia" w:ascii="仿宋_GB2312" w:eastAsia="仿宋_GB2312"/>
          <w:sz w:val="32"/>
          <w:szCs w:val="32"/>
        </w:rPr>
        <w:t>（1）项目产出</w:t>
      </w:r>
    </w:p>
    <w:p>
      <w:pPr>
        <w:spacing w:line="560" w:lineRule="exact"/>
        <w:ind w:firstLine="640"/>
        <w:rPr>
          <w:rFonts w:ascii="仿宋_GB2312" w:eastAsia="仿宋_GB2312"/>
          <w:sz w:val="32"/>
          <w:szCs w:val="32"/>
        </w:rPr>
      </w:pPr>
      <w:r>
        <w:rPr>
          <w:rFonts w:hint="eastAsia" w:ascii="仿宋_GB2312" w:eastAsia="仿宋_GB2312"/>
          <w:sz w:val="32"/>
          <w:szCs w:val="32"/>
        </w:rPr>
        <w:t>2</w:t>
      </w:r>
      <w:r>
        <w:rPr>
          <w:rFonts w:ascii="仿宋_GB2312" w:eastAsia="仿宋_GB2312"/>
          <w:sz w:val="32"/>
          <w:szCs w:val="32"/>
        </w:rPr>
        <w:t>022</w:t>
      </w:r>
      <w:r>
        <w:rPr>
          <w:rFonts w:hint="eastAsia" w:ascii="仿宋_GB2312" w:eastAsia="仿宋_GB2312"/>
          <w:sz w:val="32"/>
          <w:szCs w:val="32"/>
        </w:rPr>
        <w:t>年本项目新建设教学专业2个，分别是供应链运营（五年制）和商务数据分析与应用（五年制/三年制）；参加培训教职工1</w:t>
      </w:r>
      <w:r>
        <w:rPr>
          <w:rFonts w:ascii="仿宋_GB2312" w:eastAsia="仿宋_GB2312"/>
          <w:sz w:val="32"/>
          <w:szCs w:val="32"/>
        </w:rPr>
        <w:t>10</w:t>
      </w:r>
      <w:r>
        <w:rPr>
          <w:rFonts w:hint="eastAsia" w:ascii="仿宋_GB2312" w:eastAsia="仿宋_GB2312"/>
          <w:sz w:val="32"/>
          <w:szCs w:val="32"/>
        </w:rPr>
        <w:t>人次；培训出勤率1</w:t>
      </w:r>
      <w:r>
        <w:rPr>
          <w:rFonts w:ascii="仿宋_GB2312" w:eastAsia="仿宋_GB2312"/>
          <w:sz w:val="32"/>
          <w:szCs w:val="32"/>
        </w:rPr>
        <w:t>00%</w:t>
      </w:r>
      <w:r>
        <w:rPr>
          <w:rFonts w:hint="eastAsia" w:ascii="仿宋_GB2312" w:eastAsia="仿宋_GB2312"/>
          <w:sz w:val="32"/>
          <w:szCs w:val="32"/>
        </w:rPr>
        <w:t>，组织教职工培训及时。设备购置方面，经相关人员审批后，通过公开招标确定供应商，采购及时，设备各指标验收合格率为100%。本项目年初预算数1</w:t>
      </w:r>
      <w:r>
        <w:rPr>
          <w:rFonts w:ascii="仿宋_GB2312" w:eastAsia="仿宋_GB2312"/>
          <w:sz w:val="32"/>
          <w:szCs w:val="32"/>
        </w:rPr>
        <w:t>50</w:t>
      </w:r>
      <w:r>
        <w:rPr>
          <w:rFonts w:hint="eastAsia" w:ascii="仿宋_GB2312" w:eastAsia="仿宋_GB2312"/>
          <w:sz w:val="32"/>
          <w:szCs w:val="32"/>
        </w:rPr>
        <w:t>万元，调整预算数1</w:t>
      </w:r>
      <w:r>
        <w:rPr>
          <w:rFonts w:ascii="仿宋_GB2312" w:eastAsia="仿宋_GB2312"/>
          <w:sz w:val="32"/>
          <w:szCs w:val="32"/>
        </w:rPr>
        <w:t>40</w:t>
      </w:r>
      <w:r>
        <w:rPr>
          <w:rFonts w:hint="eastAsia" w:ascii="仿宋_GB2312" w:eastAsia="仿宋_GB2312"/>
          <w:sz w:val="32"/>
          <w:szCs w:val="32"/>
        </w:rPr>
        <w:t>万元，实际支出</w:t>
      </w:r>
      <w:r>
        <w:rPr>
          <w:rFonts w:ascii="仿宋_GB2312" w:eastAsia="仿宋_GB2312"/>
          <w:sz w:val="32"/>
          <w:szCs w:val="32"/>
        </w:rPr>
        <w:t>139.42</w:t>
      </w:r>
      <w:r>
        <w:rPr>
          <w:rFonts w:hint="eastAsia" w:ascii="仿宋_GB2312" w:eastAsia="仿宋_GB2312"/>
          <w:sz w:val="32"/>
          <w:szCs w:val="32"/>
        </w:rPr>
        <w:t>万元，项目支出控制在预算范围内。</w:t>
      </w:r>
    </w:p>
    <w:p>
      <w:pPr>
        <w:spacing w:line="560" w:lineRule="exact"/>
        <w:ind w:firstLine="640"/>
        <w:rPr>
          <w:rFonts w:ascii="仿宋_GB2312" w:eastAsia="仿宋_GB2312"/>
          <w:sz w:val="32"/>
          <w:szCs w:val="32"/>
        </w:rPr>
      </w:pPr>
      <w:r>
        <w:rPr>
          <w:rFonts w:hint="eastAsia" w:ascii="仿宋_GB2312" w:eastAsia="仿宋_GB2312"/>
          <w:sz w:val="32"/>
          <w:szCs w:val="32"/>
        </w:rPr>
        <w:t>（2）项目效益</w:t>
      </w:r>
    </w:p>
    <w:p>
      <w:pPr>
        <w:spacing w:line="560" w:lineRule="exact"/>
        <w:ind w:firstLine="640"/>
        <w:rPr>
          <w:rFonts w:ascii="仿宋_GB2312" w:eastAsia="仿宋_GB2312"/>
          <w:sz w:val="32"/>
          <w:szCs w:val="32"/>
        </w:rPr>
      </w:pPr>
      <w:r>
        <w:rPr>
          <w:rFonts w:hint="eastAsia" w:ascii="仿宋_GB2312" w:eastAsia="仿宋_GB2312"/>
          <w:sz w:val="32"/>
          <w:szCs w:val="32"/>
        </w:rPr>
        <w:t>供应链运营分析与应用系统项目建成至今，累计满足432学时供应链管理等课程教学需求，32学时供应链项目运营项目俱乐部活动需求，14学时科研项目研究需求。系统稳定，案例数据丰富，教学效果突出，极大丰富拓展了供应链管理等课程教学深度和广度，实现了头部企业作业标准进课堂，专家进课堂，课程内容进课堂，考核标准进课堂。大大增强了我校技能人才培养能力。</w:t>
      </w:r>
    </w:p>
    <w:p>
      <w:pPr>
        <w:spacing w:line="560" w:lineRule="exact"/>
        <w:ind w:firstLine="640"/>
        <w:rPr>
          <w:rFonts w:ascii="仿宋_GB2312" w:eastAsia="仿宋_GB2312"/>
          <w:sz w:val="32"/>
          <w:szCs w:val="32"/>
        </w:rPr>
      </w:pPr>
      <w:r>
        <w:rPr>
          <w:rFonts w:hint="eastAsia" w:ascii="仿宋_GB2312" w:eastAsia="仿宋_GB2312"/>
          <w:sz w:val="32"/>
          <w:szCs w:val="32"/>
        </w:rPr>
        <w:t>（3）项目满意度</w:t>
      </w:r>
    </w:p>
    <w:p>
      <w:pPr>
        <w:spacing w:line="560" w:lineRule="exact"/>
        <w:ind w:firstLine="640"/>
        <w:rPr>
          <w:rFonts w:ascii="黑体" w:hAnsi="黑体" w:eastAsia="黑体" w:cs="黑体"/>
          <w:sz w:val="32"/>
          <w:szCs w:val="32"/>
        </w:rPr>
      </w:pPr>
      <w:r>
        <w:rPr>
          <w:rFonts w:hint="eastAsia" w:ascii="仿宋_GB2312" w:eastAsia="仿宋_GB2312"/>
          <w:sz w:val="32"/>
          <w:szCs w:val="32"/>
        </w:rPr>
        <w:t>根据全校“人事处满意度调整问卷”的抽样结果，教职工培训满意度达9</w:t>
      </w:r>
      <w:r>
        <w:rPr>
          <w:rFonts w:ascii="仿宋_GB2312" w:eastAsia="仿宋_GB2312"/>
          <w:sz w:val="32"/>
          <w:szCs w:val="32"/>
        </w:rPr>
        <w:t>5%</w:t>
      </w:r>
      <w:r>
        <w:rPr>
          <w:rFonts w:hint="eastAsia" w:ascii="仿宋_GB2312" w:eastAsia="仿宋_GB2312"/>
          <w:sz w:val="32"/>
          <w:szCs w:val="32"/>
        </w:rPr>
        <w:t>。</w:t>
      </w:r>
    </w:p>
    <w:p>
      <w:pPr>
        <w:snapToGrid w:val="0"/>
        <w:spacing w:line="560" w:lineRule="exact"/>
        <w:ind w:firstLine="640"/>
        <w:rPr>
          <w:rFonts w:ascii="黑体" w:hAnsi="黑体" w:eastAsia="黑体" w:cs="黑体"/>
          <w:sz w:val="32"/>
          <w:szCs w:val="32"/>
        </w:rPr>
      </w:pPr>
      <w:r>
        <w:rPr>
          <w:rFonts w:hint="eastAsia" w:ascii="黑体" w:hAnsi="黑体" w:eastAsia="黑体" w:cs="黑体"/>
          <w:sz w:val="32"/>
          <w:szCs w:val="32"/>
        </w:rPr>
        <w:t>三、主要经验及做法</w:t>
      </w:r>
    </w:p>
    <w:p>
      <w:pPr>
        <w:pStyle w:val="3"/>
        <w:spacing w:before="0" w:line="560" w:lineRule="exact"/>
        <w:ind w:left="0" w:firstLine="636" w:firstLineChars="200"/>
        <w:jc w:val="both"/>
        <w:rPr>
          <w:spacing w:val="-1"/>
        </w:rPr>
      </w:pPr>
      <w:r>
        <w:rPr>
          <w:rFonts w:hint="eastAsia"/>
          <w:spacing w:val="-1"/>
        </w:rPr>
        <w:t>一是项目实施程序规范，严格按照我校《财务管理制度》、</w:t>
      </w:r>
      <w:r>
        <w:rPr>
          <w:rFonts w:hint="eastAsia"/>
        </w:rPr>
        <w:t>《经费支出管理办法》</w:t>
      </w:r>
      <w:r>
        <w:rPr>
          <w:rFonts w:hint="eastAsia"/>
          <w:spacing w:val="-1"/>
        </w:rPr>
        <w:t>等相关制度对项目资金、合同签订等系列行为进行管理，确保项目资金安全性以及项目管理规范性。</w:t>
      </w:r>
    </w:p>
    <w:p>
      <w:pPr>
        <w:pStyle w:val="3"/>
        <w:spacing w:before="0" w:line="560" w:lineRule="exact"/>
        <w:ind w:left="0" w:firstLine="636" w:firstLineChars="200"/>
        <w:jc w:val="both"/>
        <w:rPr>
          <w:spacing w:val="-1"/>
        </w:rPr>
      </w:pPr>
      <w:r>
        <w:rPr>
          <w:rFonts w:hint="eastAsia"/>
          <w:spacing w:val="-1"/>
        </w:rPr>
        <w:t>二是项目成果显著。2</w:t>
      </w:r>
      <w:r>
        <w:rPr>
          <w:spacing w:val="-1"/>
        </w:rPr>
        <w:t>022</w:t>
      </w:r>
      <w:r>
        <w:rPr>
          <w:rFonts w:hint="eastAsia"/>
          <w:spacing w:val="-1"/>
        </w:rPr>
        <w:t>年超目标完成新建设教学专业数量和培训计划，建成供应链规划系统、供应链运营系统、供应链大数据系统，项目建成后开展了教师使用培训、物流管理专业技能俱乐部活动，技能俱乐部活动学生训练884人次，</w:t>
      </w:r>
      <w:r>
        <w:rPr>
          <w:rFonts w:hint="eastAsia"/>
          <w:spacing w:val="-1"/>
          <w:lang w:val="en-US" w:eastAsia="zh-CN"/>
        </w:rPr>
        <w:t>开展</w:t>
      </w:r>
      <w:r>
        <w:rPr>
          <w:rFonts w:hint="eastAsia"/>
          <w:spacing w:val="-1"/>
        </w:rPr>
        <w:t>培训教师</w:t>
      </w:r>
      <w:r>
        <w:rPr>
          <w:rFonts w:hint="eastAsia"/>
          <w:spacing w:val="-1"/>
          <w:lang w:val="en-US" w:eastAsia="zh-CN"/>
        </w:rPr>
        <w:t>110</w:t>
      </w:r>
      <w:r>
        <w:rPr>
          <w:rFonts w:hint="eastAsia"/>
          <w:spacing w:val="-1"/>
        </w:rPr>
        <w:t>人次，项目运行良好，有效提升了我校技能人才培训能力。</w:t>
      </w:r>
    </w:p>
    <w:p>
      <w:pPr>
        <w:snapToGrid w:val="0"/>
        <w:spacing w:line="560" w:lineRule="exact"/>
        <w:ind w:firstLine="640"/>
        <w:rPr>
          <w:rFonts w:ascii="黑体" w:hAnsi="黑体" w:eastAsia="黑体" w:cs="黑体"/>
          <w:sz w:val="32"/>
          <w:szCs w:val="32"/>
        </w:rPr>
      </w:pPr>
      <w:r>
        <w:rPr>
          <w:rFonts w:hint="eastAsia" w:ascii="黑体" w:hAnsi="黑体" w:eastAsia="黑体" w:cs="黑体"/>
          <w:sz w:val="32"/>
          <w:szCs w:val="32"/>
        </w:rPr>
        <w:t>四、存在的问题</w:t>
      </w:r>
    </w:p>
    <w:p>
      <w:pPr>
        <w:pStyle w:val="3"/>
        <w:spacing w:before="0" w:line="560" w:lineRule="exact"/>
        <w:ind w:left="0" w:firstLine="636" w:firstLineChars="200"/>
        <w:jc w:val="both"/>
        <w:rPr>
          <w:spacing w:val="-1"/>
        </w:rPr>
      </w:pPr>
      <w:r>
        <w:rPr>
          <w:rFonts w:hint="eastAsia"/>
          <w:spacing w:val="-1"/>
        </w:rPr>
        <w:t>项目指标值设置有待优化。如“参加培训教职工人次，年度指标值为</w:t>
      </w:r>
      <w:r>
        <w:rPr>
          <w:color w:val="000000"/>
        </w:rPr>
        <w:t>≥</w:t>
      </w:r>
      <w:r>
        <w:rPr>
          <w:rFonts w:hint="eastAsia"/>
          <w:spacing w:val="-1"/>
        </w:rPr>
        <w:t>5</w:t>
      </w:r>
      <w:r>
        <w:rPr>
          <w:spacing w:val="-1"/>
        </w:rPr>
        <w:t>0</w:t>
      </w:r>
      <w:r>
        <w:rPr>
          <w:rFonts w:hint="eastAsia"/>
          <w:spacing w:val="-1"/>
        </w:rPr>
        <w:t>”，实际完成值为1</w:t>
      </w:r>
      <w:r>
        <w:rPr>
          <w:spacing w:val="-1"/>
        </w:rPr>
        <w:t>10</w:t>
      </w:r>
      <w:r>
        <w:rPr>
          <w:rFonts w:hint="eastAsia"/>
          <w:spacing w:val="-1"/>
        </w:rPr>
        <w:t>，实际完成情况1</w:t>
      </w:r>
      <w:r>
        <w:rPr>
          <w:spacing w:val="-1"/>
        </w:rPr>
        <w:t>20%</w:t>
      </w:r>
      <w:r>
        <w:rPr>
          <w:rFonts w:hint="eastAsia"/>
          <w:spacing w:val="-1"/>
        </w:rPr>
        <w:t>超过年度指标值。</w:t>
      </w:r>
    </w:p>
    <w:p>
      <w:pPr>
        <w:snapToGrid w:val="0"/>
        <w:spacing w:line="560" w:lineRule="exact"/>
        <w:ind w:firstLine="640"/>
        <w:rPr>
          <w:rFonts w:ascii="仿宋_GB2312" w:eastAsia="仿宋_GB2312"/>
          <w:sz w:val="32"/>
          <w:szCs w:val="32"/>
        </w:rPr>
      </w:pPr>
      <w:r>
        <w:rPr>
          <w:rFonts w:hint="eastAsia" w:ascii="黑体" w:hAnsi="黑体" w:eastAsia="黑体" w:cs="黑体"/>
          <w:sz w:val="32"/>
          <w:szCs w:val="32"/>
        </w:rPr>
        <w:t>五、有关建议</w:t>
      </w:r>
    </w:p>
    <w:p>
      <w:pPr>
        <w:snapToGrid w:val="0"/>
        <w:spacing w:line="56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在后续的工作中，我校将严格部门预算编制管理，提高预算编制准确性和可执行性。以职责定项目，在编制预算前对项目进行科学测算，结合往年预算数及今年工作计划进行预算编制，提高预算编制工作的精准度。</w:t>
      </w:r>
    </w:p>
    <w:p>
      <w:pPr>
        <w:spacing w:line="560" w:lineRule="exact"/>
        <w:ind w:firstLine="640"/>
        <w:rPr>
          <w:rFonts w:ascii="仿宋_GB2312" w:eastAsia="仿宋_GB2312"/>
          <w:sz w:val="32"/>
          <w:szCs w:val="32"/>
        </w:rPr>
      </w:pPr>
    </w:p>
    <w:p>
      <w:pPr>
        <w:spacing w:line="560" w:lineRule="exact"/>
        <w:ind w:firstLine="640"/>
        <w:rPr>
          <w:rFonts w:ascii="仿宋_GB2312" w:eastAsia="仿宋_GB2312"/>
          <w:sz w:val="32"/>
          <w:szCs w:val="32"/>
        </w:rPr>
      </w:pPr>
    </w:p>
    <w:p>
      <w:pPr>
        <w:rPr>
          <w:rFonts w:hint="eastAsia" w:ascii="仿宋_GB2312" w:eastAsia="仿宋_GB2312"/>
          <w:sz w:val="32"/>
          <w:szCs w:val="32"/>
        </w:rPr>
      </w:pPr>
      <w:r>
        <w:rPr>
          <w:rFonts w:hint="eastAsia" w:ascii="仿宋_GB2312" w:eastAsia="仿宋_GB2312"/>
          <w:sz w:val="32"/>
          <w:szCs w:val="32"/>
        </w:rPr>
        <w:br w:type="page"/>
      </w:r>
    </w:p>
    <w:p>
      <w:pPr>
        <w:spacing w:line="560" w:lineRule="exact"/>
        <w:ind w:firstLine="640"/>
        <w:rPr>
          <w:rFonts w:ascii="仿宋_GB2312" w:eastAsia="仿宋_GB2312"/>
          <w:sz w:val="32"/>
          <w:szCs w:val="32"/>
        </w:rPr>
      </w:pPr>
      <w:r>
        <w:rPr>
          <w:rFonts w:hint="eastAsia" w:ascii="仿宋_GB2312" w:eastAsia="仿宋_GB2312"/>
          <w:sz w:val="32"/>
          <w:szCs w:val="32"/>
        </w:rPr>
        <w:t>附件：2022年现代职业教育质量提升计划资金项目支出绩效评价评分表</w:t>
      </w:r>
    </w:p>
    <w:p/>
    <w:tbl>
      <w:tblPr>
        <w:tblStyle w:val="8"/>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08"/>
        <w:gridCol w:w="1056"/>
        <w:gridCol w:w="1161"/>
        <w:gridCol w:w="1161"/>
        <w:gridCol w:w="1161"/>
        <w:gridCol w:w="711"/>
        <w:gridCol w:w="726"/>
        <w:gridCol w:w="622"/>
        <w:gridCol w:w="102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5000"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50" w:hRule="atLeast"/>
        </w:trPr>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项目编码：</w:t>
            </w:r>
          </w:p>
        </w:tc>
        <w:tc>
          <w:tcPr>
            <w:tcW w:w="133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440300227171500600004</w:t>
            </w:r>
          </w:p>
        </w:tc>
        <w:tc>
          <w:tcPr>
            <w:tcW w:w="6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项目名称：</w:t>
            </w:r>
          </w:p>
        </w:tc>
        <w:tc>
          <w:tcPr>
            <w:tcW w:w="6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2022</w:t>
            </w:r>
            <w:r>
              <w:rPr>
                <w:rFonts w:hint="eastAsia" w:ascii="宋体" w:hAnsi="宋体" w:eastAsia="宋体" w:cs="宋体"/>
                <w:i w:val="0"/>
                <w:iCs w:val="0"/>
                <w:color w:val="000000"/>
                <w:kern w:val="0"/>
                <w:sz w:val="18"/>
                <w:szCs w:val="18"/>
                <w:u w:val="none"/>
                <w:lang w:val="en-US" w:eastAsia="zh-CN" w:bidi="ar"/>
              </w:rPr>
              <w:t>年现代职业教育质量提升计划资金（财教【</w:t>
            </w:r>
            <w:r>
              <w:rPr>
                <w:rFonts w:hint="default" w:ascii="Times New Roman" w:hAnsi="Times New Roman" w:eastAsia="宋体" w:cs="Times New Roman"/>
                <w:i w:val="0"/>
                <w:iCs w:val="0"/>
                <w:color w:val="000000"/>
                <w:kern w:val="0"/>
                <w:sz w:val="18"/>
                <w:szCs w:val="18"/>
                <w:u w:val="none"/>
                <w:lang w:val="en-US" w:eastAsia="zh-CN" w:bidi="ar"/>
              </w:rPr>
              <w:t>2021</w:t>
            </w:r>
            <w:r>
              <w:rPr>
                <w:rFonts w:hint="eastAsia" w:ascii="宋体" w:hAnsi="宋体" w:eastAsia="宋体" w:cs="宋体"/>
                <w:i w:val="0"/>
                <w:iCs w:val="0"/>
                <w:color w:val="000000"/>
                <w:kern w:val="0"/>
                <w:sz w:val="18"/>
                <w:szCs w:val="18"/>
                <w:u w:val="none"/>
                <w:lang w:val="en-US" w:eastAsia="zh-CN" w:bidi="ar"/>
              </w:rPr>
              <w:t>】</w:t>
            </w:r>
            <w:r>
              <w:rPr>
                <w:rFonts w:hint="default" w:ascii="Times New Roman" w:hAnsi="Times New Roman" w:eastAsia="宋体" w:cs="Times New Roman"/>
                <w:i w:val="0"/>
                <w:iCs w:val="0"/>
                <w:color w:val="000000"/>
                <w:kern w:val="0"/>
                <w:sz w:val="18"/>
                <w:szCs w:val="18"/>
                <w:u w:val="none"/>
                <w:lang w:val="en-US" w:eastAsia="zh-CN" w:bidi="ar"/>
              </w:rPr>
              <w:t>205</w:t>
            </w:r>
            <w:r>
              <w:rPr>
                <w:rFonts w:hint="eastAsia" w:ascii="宋体" w:hAnsi="宋体" w:eastAsia="宋体" w:cs="宋体"/>
                <w:i w:val="0"/>
                <w:iCs w:val="0"/>
                <w:color w:val="000000"/>
                <w:kern w:val="0"/>
                <w:sz w:val="18"/>
                <w:szCs w:val="18"/>
                <w:u w:val="none"/>
                <w:lang w:val="en-US" w:eastAsia="zh-CN" w:bidi="ar"/>
              </w:rPr>
              <w:t>号）</w:t>
            </w:r>
          </w:p>
        </w:tc>
        <w:tc>
          <w:tcPr>
            <w:tcW w:w="3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绩效自评年度：</w:t>
            </w:r>
          </w:p>
        </w:tc>
        <w:tc>
          <w:tcPr>
            <w:tcW w:w="13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2022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实施单位：</w:t>
            </w:r>
          </w:p>
        </w:tc>
        <w:tc>
          <w:tcPr>
            <w:tcW w:w="1336" w:type="pct"/>
            <w:gridSpan w:val="2"/>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深圳技师学院</w:t>
            </w:r>
          </w:p>
        </w:tc>
        <w:tc>
          <w:tcPr>
            <w:tcW w:w="6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一级预算单位：</w:t>
            </w:r>
          </w:p>
        </w:tc>
        <w:tc>
          <w:tcPr>
            <w:tcW w:w="2401"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深圳技师学院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000"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资金使用情况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 w:hRule="atLeast"/>
        </w:trPr>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cs="Times New Roman"/>
                <w:i w:val="0"/>
                <w:iCs w:val="0"/>
                <w:color w:val="000000"/>
                <w:sz w:val="18"/>
                <w:szCs w:val="18"/>
                <w:u w:val="none"/>
              </w:rPr>
            </w:pPr>
          </w:p>
        </w:tc>
        <w:tc>
          <w:tcPr>
            <w:tcW w:w="6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cs="Times New Roman"/>
                <w:i w:val="0"/>
                <w:iCs w:val="0"/>
                <w:color w:val="000000"/>
                <w:sz w:val="18"/>
                <w:szCs w:val="18"/>
                <w:u w:val="none"/>
              </w:rPr>
            </w:pPr>
          </w:p>
        </w:tc>
        <w:tc>
          <w:tcPr>
            <w:tcW w:w="6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年初预算数</w:t>
            </w:r>
          </w:p>
        </w:tc>
        <w:tc>
          <w:tcPr>
            <w:tcW w:w="6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全年预算数</w:t>
            </w:r>
          </w:p>
        </w:tc>
        <w:tc>
          <w:tcPr>
            <w:tcW w:w="6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全年执行数</w:t>
            </w:r>
          </w:p>
        </w:tc>
        <w:tc>
          <w:tcPr>
            <w:tcW w:w="3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分值</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执行率（</w:t>
            </w:r>
            <w:r>
              <w:rPr>
                <w:rFonts w:hint="default" w:ascii="Times New Roman" w:hAnsi="Times New Roman" w:eastAsia="宋体" w:cs="Times New Roman"/>
                <w:i w:val="0"/>
                <w:iCs w:val="0"/>
                <w:color w:val="333333"/>
                <w:kern w:val="0"/>
                <w:sz w:val="18"/>
                <w:szCs w:val="18"/>
                <w:u w:val="none"/>
                <w:lang w:val="en-US" w:eastAsia="zh-CN" w:bidi="ar"/>
              </w:rPr>
              <w:t>%</w:t>
            </w:r>
            <w:r>
              <w:rPr>
                <w:rFonts w:hint="eastAsia" w:ascii="宋体" w:hAnsi="宋体" w:eastAsia="宋体" w:cs="宋体"/>
                <w:i w:val="0"/>
                <w:iCs w:val="0"/>
                <w:color w:val="333333"/>
                <w:kern w:val="0"/>
                <w:sz w:val="18"/>
                <w:szCs w:val="18"/>
                <w:u w:val="none"/>
                <w:lang w:val="en-US" w:eastAsia="zh-CN" w:bidi="ar"/>
              </w:rPr>
              <w:t>）</w:t>
            </w:r>
          </w:p>
        </w:tc>
        <w:tc>
          <w:tcPr>
            <w:tcW w:w="9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9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项目资金（元）</w:t>
            </w:r>
          </w:p>
        </w:tc>
        <w:tc>
          <w:tcPr>
            <w:tcW w:w="6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年度资金总额</w:t>
            </w:r>
          </w:p>
        </w:tc>
        <w:tc>
          <w:tcPr>
            <w:tcW w:w="6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 1,500,000.00 </w:t>
            </w:r>
          </w:p>
        </w:tc>
        <w:tc>
          <w:tcPr>
            <w:tcW w:w="6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 1,400,000.00 </w:t>
            </w:r>
          </w:p>
        </w:tc>
        <w:tc>
          <w:tcPr>
            <w:tcW w:w="6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 1,394,243.30 </w:t>
            </w:r>
          </w:p>
        </w:tc>
        <w:tc>
          <w:tcPr>
            <w:tcW w:w="3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99.59</w:t>
            </w:r>
          </w:p>
        </w:tc>
        <w:tc>
          <w:tcPr>
            <w:tcW w:w="9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9.96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cs="Times New Roman"/>
                <w:i w:val="0"/>
                <w:iCs w:val="0"/>
                <w:color w:val="000000"/>
                <w:sz w:val="18"/>
                <w:szCs w:val="18"/>
                <w:u w:val="none"/>
              </w:rPr>
            </w:pPr>
          </w:p>
        </w:tc>
        <w:tc>
          <w:tcPr>
            <w:tcW w:w="6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其中：当年财政拨款</w:t>
            </w:r>
          </w:p>
        </w:tc>
        <w:tc>
          <w:tcPr>
            <w:tcW w:w="6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 1,500,000.00 </w:t>
            </w:r>
          </w:p>
        </w:tc>
        <w:tc>
          <w:tcPr>
            <w:tcW w:w="6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 1,400,000.00 </w:t>
            </w:r>
          </w:p>
        </w:tc>
        <w:tc>
          <w:tcPr>
            <w:tcW w:w="6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 1,394,243.30 </w:t>
            </w:r>
          </w:p>
        </w:tc>
        <w:tc>
          <w:tcPr>
            <w:tcW w:w="3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c>
          <w:tcPr>
            <w:tcW w:w="9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cs="Times New Roman"/>
                <w:i w:val="0"/>
                <w:iCs w:val="0"/>
                <w:color w:val="000000"/>
                <w:sz w:val="18"/>
                <w:szCs w:val="18"/>
                <w:u w:val="none"/>
              </w:rPr>
            </w:pPr>
          </w:p>
        </w:tc>
        <w:tc>
          <w:tcPr>
            <w:tcW w:w="6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上年结转资金</w:t>
            </w:r>
          </w:p>
        </w:tc>
        <w:tc>
          <w:tcPr>
            <w:tcW w:w="6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 -   </w:t>
            </w:r>
          </w:p>
        </w:tc>
        <w:tc>
          <w:tcPr>
            <w:tcW w:w="6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 -   </w:t>
            </w:r>
          </w:p>
        </w:tc>
        <w:tc>
          <w:tcPr>
            <w:tcW w:w="6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 -   </w:t>
            </w:r>
          </w:p>
        </w:tc>
        <w:tc>
          <w:tcPr>
            <w:tcW w:w="3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c>
          <w:tcPr>
            <w:tcW w:w="9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cs="Times New Roman"/>
                <w:i w:val="0"/>
                <w:iCs w:val="0"/>
                <w:color w:val="000000"/>
                <w:sz w:val="18"/>
                <w:szCs w:val="18"/>
                <w:u w:val="none"/>
              </w:rPr>
            </w:pPr>
          </w:p>
        </w:tc>
        <w:tc>
          <w:tcPr>
            <w:tcW w:w="670"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665"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 -   </w:t>
            </w:r>
          </w:p>
        </w:tc>
        <w:tc>
          <w:tcPr>
            <w:tcW w:w="665"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 -   </w:t>
            </w:r>
          </w:p>
        </w:tc>
        <w:tc>
          <w:tcPr>
            <w:tcW w:w="699"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 -   </w:t>
            </w:r>
          </w:p>
        </w:tc>
        <w:tc>
          <w:tcPr>
            <w:tcW w:w="369"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c>
          <w:tcPr>
            <w:tcW w:w="335"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c>
          <w:tcPr>
            <w:tcW w:w="997" w:type="pct"/>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000"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b/>
                <w:bCs/>
                <w:i w:val="0"/>
                <w:iCs w:val="0"/>
                <w:color w:val="333333"/>
                <w:sz w:val="18"/>
                <w:szCs w:val="18"/>
                <w:u w:val="none"/>
              </w:rPr>
            </w:pPr>
            <w:r>
              <w:rPr>
                <w:rFonts w:hint="eastAsia" w:ascii="宋体" w:hAnsi="宋体" w:eastAsia="宋体" w:cs="宋体"/>
                <w:b/>
                <w:bCs/>
                <w:i w:val="0"/>
                <w:iCs w:val="0"/>
                <w:color w:val="333333"/>
                <w:kern w:val="0"/>
                <w:sz w:val="18"/>
                <w:szCs w:val="18"/>
                <w:u w:val="none"/>
                <w:lang w:val="en-US" w:eastAsia="zh-CN" w:bidi="ar"/>
              </w:rPr>
              <w:t>项目目标完成情况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9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b/>
                <w:bCs/>
                <w:i w:val="0"/>
                <w:iCs w:val="0"/>
                <w:color w:val="333333"/>
                <w:sz w:val="18"/>
                <w:szCs w:val="18"/>
                <w:u w:val="none"/>
              </w:rPr>
            </w:pPr>
            <w:r>
              <w:rPr>
                <w:rFonts w:hint="eastAsia" w:ascii="宋体" w:hAnsi="宋体" w:eastAsia="宋体" w:cs="宋体"/>
                <w:b/>
                <w:bCs/>
                <w:i w:val="0"/>
                <w:iCs w:val="0"/>
                <w:color w:val="333333"/>
                <w:kern w:val="0"/>
                <w:sz w:val="18"/>
                <w:szCs w:val="18"/>
                <w:u w:val="none"/>
                <w:lang w:val="en-US" w:eastAsia="zh-CN" w:bidi="ar"/>
              </w:rPr>
              <w:t>年度总体目标</w:t>
            </w:r>
          </w:p>
        </w:tc>
        <w:tc>
          <w:tcPr>
            <w:tcW w:w="2701"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b/>
                <w:bCs/>
                <w:i w:val="0"/>
                <w:iCs w:val="0"/>
                <w:color w:val="333333"/>
                <w:sz w:val="18"/>
                <w:szCs w:val="18"/>
                <w:u w:val="none"/>
              </w:rPr>
            </w:pPr>
            <w:r>
              <w:rPr>
                <w:rFonts w:hint="eastAsia" w:ascii="宋体" w:hAnsi="宋体" w:eastAsia="宋体" w:cs="宋体"/>
                <w:b/>
                <w:bCs/>
                <w:i w:val="0"/>
                <w:iCs w:val="0"/>
                <w:color w:val="333333"/>
                <w:kern w:val="0"/>
                <w:sz w:val="18"/>
                <w:szCs w:val="18"/>
                <w:u w:val="none"/>
                <w:lang w:val="en-US" w:eastAsia="zh-CN" w:bidi="ar"/>
              </w:rPr>
              <w:t>预期目标</w:t>
            </w:r>
          </w:p>
        </w:tc>
        <w:tc>
          <w:tcPr>
            <w:tcW w:w="170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b/>
                <w:bCs/>
                <w:i w:val="0"/>
                <w:iCs w:val="0"/>
                <w:color w:val="D9001B"/>
                <w:sz w:val="18"/>
                <w:szCs w:val="18"/>
                <w:u w:val="none"/>
              </w:rPr>
            </w:pPr>
            <w:r>
              <w:rPr>
                <w:rFonts w:hint="default" w:ascii="Times New Roman" w:hAnsi="Times New Roman" w:eastAsia="宋体" w:cs="Times New Roman"/>
                <w:b/>
                <w:bCs/>
                <w:i w:val="0"/>
                <w:iCs w:val="0"/>
                <w:color w:val="D9001B"/>
                <w:kern w:val="0"/>
                <w:sz w:val="18"/>
                <w:szCs w:val="18"/>
                <w:u w:val="none"/>
                <w:lang w:val="en-US" w:eastAsia="zh-CN" w:bidi="ar"/>
              </w:rPr>
              <w:t xml:space="preserve">* </w:t>
            </w:r>
            <w:r>
              <w:rPr>
                <w:rFonts w:hint="eastAsia" w:ascii="宋体" w:hAnsi="宋体" w:eastAsia="宋体" w:cs="宋体"/>
                <w:b/>
                <w:bCs/>
                <w:i w:val="0"/>
                <w:iCs w:val="0"/>
                <w:color w:val="000000"/>
                <w:kern w:val="0"/>
                <w:sz w:val="18"/>
                <w:szCs w:val="18"/>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5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cs="Times New Roman"/>
                <w:b/>
                <w:bCs/>
                <w:i w:val="0"/>
                <w:iCs w:val="0"/>
                <w:color w:val="333333"/>
                <w:sz w:val="18"/>
                <w:szCs w:val="18"/>
                <w:u w:val="none"/>
              </w:rPr>
            </w:pPr>
          </w:p>
        </w:tc>
        <w:tc>
          <w:tcPr>
            <w:tcW w:w="2701" w:type="pct"/>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w:t>
            </w:r>
            <w:r>
              <w:rPr>
                <w:rFonts w:hint="eastAsia" w:ascii="宋体" w:hAnsi="宋体" w:eastAsia="宋体" w:cs="宋体"/>
                <w:i w:val="0"/>
                <w:iCs w:val="0"/>
                <w:color w:val="000000"/>
                <w:kern w:val="0"/>
                <w:sz w:val="18"/>
                <w:szCs w:val="18"/>
                <w:u w:val="none"/>
                <w:lang w:val="en-US" w:eastAsia="zh-CN" w:bidi="ar"/>
              </w:rPr>
              <w:t>、新建设教学专业</w:t>
            </w:r>
            <w:r>
              <w:rPr>
                <w:rFonts w:hint="default" w:ascii="Times New Roman" w:hAnsi="Times New Roman" w:eastAsia="宋体" w:cs="Times New Roman"/>
                <w:i w:val="0"/>
                <w:iCs w:val="0"/>
                <w:color w:val="000000"/>
                <w:kern w:val="0"/>
                <w:sz w:val="18"/>
                <w:szCs w:val="18"/>
                <w:u w:val="none"/>
                <w:lang w:val="en-US" w:eastAsia="zh-CN" w:bidi="ar"/>
              </w:rPr>
              <w:t>1</w:t>
            </w:r>
            <w:r>
              <w:rPr>
                <w:rFonts w:hint="eastAsia" w:ascii="宋体" w:hAnsi="宋体" w:eastAsia="宋体" w:cs="宋体"/>
                <w:i w:val="0"/>
                <w:iCs w:val="0"/>
                <w:color w:val="000000"/>
                <w:kern w:val="0"/>
                <w:sz w:val="18"/>
                <w:szCs w:val="18"/>
                <w:u w:val="none"/>
                <w:lang w:val="en-US" w:eastAsia="zh-CN" w:bidi="ar"/>
              </w:rPr>
              <w:t>个以上；</w:t>
            </w:r>
            <w:r>
              <w:rPr>
                <w:rFonts w:hint="default" w:ascii="Times New Roman" w:hAnsi="Times New Roman" w:eastAsia="宋体" w:cs="Times New Roman"/>
                <w:i w:val="0"/>
                <w:iCs w:val="0"/>
                <w:color w:val="000000"/>
                <w:kern w:val="0"/>
                <w:sz w:val="18"/>
                <w:szCs w:val="18"/>
                <w:u w:val="none"/>
                <w:lang w:val="en-US" w:eastAsia="zh-CN" w:bidi="ar"/>
              </w:rPr>
              <w:t>2</w:t>
            </w:r>
            <w:r>
              <w:rPr>
                <w:rFonts w:hint="eastAsia" w:ascii="宋体" w:hAnsi="宋体" w:eastAsia="宋体" w:cs="宋体"/>
                <w:i w:val="0"/>
                <w:iCs w:val="0"/>
                <w:color w:val="000000"/>
                <w:kern w:val="0"/>
                <w:sz w:val="18"/>
                <w:szCs w:val="18"/>
                <w:u w:val="none"/>
                <w:lang w:val="en-US" w:eastAsia="zh-CN" w:bidi="ar"/>
              </w:rPr>
              <w:t>、及时组织教职工培训</w:t>
            </w:r>
            <w:r>
              <w:rPr>
                <w:rFonts w:hint="default" w:ascii="Times New Roman" w:hAnsi="Times New Roman" w:eastAsia="宋体" w:cs="Times New Roman"/>
                <w:i w:val="0"/>
                <w:iCs w:val="0"/>
                <w:color w:val="000000"/>
                <w:kern w:val="0"/>
                <w:sz w:val="18"/>
                <w:szCs w:val="18"/>
                <w:u w:val="none"/>
                <w:lang w:val="en-US" w:eastAsia="zh-CN" w:bidi="ar"/>
              </w:rPr>
              <w:t>50</w:t>
            </w:r>
            <w:r>
              <w:rPr>
                <w:rFonts w:hint="eastAsia" w:ascii="宋体" w:hAnsi="宋体" w:eastAsia="宋体" w:cs="宋体"/>
                <w:i w:val="0"/>
                <w:iCs w:val="0"/>
                <w:color w:val="000000"/>
                <w:kern w:val="0"/>
                <w:sz w:val="18"/>
                <w:szCs w:val="18"/>
                <w:u w:val="none"/>
                <w:lang w:val="en-US" w:eastAsia="zh-CN" w:bidi="ar"/>
              </w:rPr>
              <w:t>人次，确保完成率</w:t>
            </w:r>
            <w:r>
              <w:rPr>
                <w:rFonts w:hint="default" w:ascii="Times New Roman" w:hAnsi="Times New Roman" w:eastAsia="宋体" w:cs="Times New Roman"/>
                <w:i w:val="0"/>
                <w:iCs w:val="0"/>
                <w:color w:val="000000"/>
                <w:kern w:val="0"/>
                <w:sz w:val="18"/>
                <w:szCs w:val="18"/>
                <w:u w:val="none"/>
                <w:lang w:val="en-US" w:eastAsia="zh-CN" w:bidi="ar"/>
              </w:rPr>
              <w:t>80%</w:t>
            </w:r>
            <w:r>
              <w:rPr>
                <w:rFonts w:hint="eastAsia" w:ascii="宋体" w:hAnsi="宋体" w:eastAsia="宋体" w:cs="宋体"/>
                <w:i w:val="0"/>
                <w:iCs w:val="0"/>
                <w:color w:val="000000"/>
                <w:kern w:val="0"/>
                <w:sz w:val="18"/>
                <w:szCs w:val="18"/>
                <w:u w:val="none"/>
                <w:lang w:val="en-US" w:eastAsia="zh-CN" w:bidi="ar"/>
              </w:rPr>
              <w:t>以上。</w:t>
            </w:r>
          </w:p>
        </w:tc>
        <w:tc>
          <w:tcPr>
            <w:tcW w:w="1702" w:type="pct"/>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w:t>
            </w:r>
            <w:r>
              <w:rPr>
                <w:rFonts w:hint="eastAsia" w:ascii="宋体" w:hAnsi="宋体" w:eastAsia="宋体" w:cs="宋体"/>
                <w:i w:val="0"/>
                <w:iCs w:val="0"/>
                <w:color w:val="000000"/>
                <w:kern w:val="0"/>
                <w:sz w:val="18"/>
                <w:szCs w:val="18"/>
                <w:u w:val="none"/>
                <w:lang w:val="en-US" w:eastAsia="zh-CN" w:bidi="ar"/>
              </w:rPr>
              <w:t>新建设教学专业</w:t>
            </w:r>
            <w:r>
              <w:rPr>
                <w:rFonts w:hint="default" w:ascii="Times New Roman" w:hAnsi="Times New Roman" w:eastAsia="宋体" w:cs="Times New Roman"/>
                <w:i w:val="0"/>
                <w:iCs w:val="0"/>
                <w:color w:val="000000"/>
                <w:kern w:val="0"/>
                <w:sz w:val="18"/>
                <w:szCs w:val="18"/>
                <w:u w:val="none"/>
                <w:lang w:val="en-US" w:eastAsia="zh-CN" w:bidi="ar"/>
              </w:rPr>
              <w:t>2</w:t>
            </w:r>
            <w:r>
              <w:rPr>
                <w:rFonts w:hint="eastAsia" w:ascii="宋体" w:hAnsi="宋体" w:eastAsia="宋体" w:cs="宋体"/>
                <w:i w:val="0"/>
                <w:iCs w:val="0"/>
                <w:color w:val="000000"/>
                <w:kern w:val="0"/>
                <w:sz w:val="18"/>
                <w:szCs w:val="18"/>
                <w:u w:val="none"/>
                <w:lang w:val="en-US" w:eastAsia="zh-CN" w:bidi="ar"/>
              </w:rPr>
              <w:t>个；</w:t>
            </w:r>
            <w:r>
              <w:rPr>
                <w:rFonts w:hint="default" w:ascii="Times New Roman" w:hAnsi="Times New Roman" w:eastAsia="宋体" w:cs="Times New Roman"/>
                <w:i w:val="0"/>
                <w:iCs w:val="0"/>
                <w:color w:val="000000"/>
                <w:kern w:val="0"/>
                <w:sz w:val="18"/>
                <w:szCs w:val="18"/>
                <w:u w:val="none"/>
                <w:lang w:val="en-US" w:eastAsia="zh-CN" w:bidi="ar"/>
              </w:rPr>
              <w:br w:type="textWrapping"/>
            </w:r>
            <w:r>
              <w:rPr>
                <w:rFonts w:hint="default" w:ascii="Times New Roman" w:hAnsi="Times New Roman" w:eastAsia="宋体" w:cs="Times New Roman"/>
                <w:i w:val="0"/>
                <w:iCs w:val="0"/>
                <w:color w:val="000000"/>
                <w:kern w:val="0"/>
                <w:sz w:val="18"/>
                <w:szCs w:val="18"/>
                <w:u w:val="none"/>
                <w:lang w:val="en-US" w:eastAsia="zh-CN" w:bidi="ar"/>
              </w:rPr>
              <w:t>2.</w:t>
            </w:r>
            <w:r>
              <w:rPr>
                <w:rFonts w:hint="eastAsia" w:ascii="宋体" w:hAnsi="宋体" w:eastAsia="宋体" w:cs="宋体"/>
                <w:i w:val="0"/>
                <w:iCs w:val="0"/>
                <w:color w:val="000000"/>
                <w:kern w:val="0"/>
                <w:sz w:val="18"/>
                <w:szCs w:val="18"/>
                <w:u w:val="none"/>
                <w:lang w:val="en-US" w:eastAsia="zh-CN" w:bidi="ar"/>
              </w:rPr>
              <w:t>及时组织教职工培训</w:t>
            </w:r>
            <w:r>
              <w:rPr>
                <w:rFonts w:hint="default" w:ascii="Times New Roman" w:hAnsi="Times New Roman" w:eastAsia="宋体" w:cs="Times New Roman"/>
                <w:i w:val="0"/>
                <w:iCs w:val="0"/>
                <w:color w:val="000000"/>
                <w:kern w:val="0"/>
                <w:sz w:val="18"/>
                <w:szCs w:val="18"/>
                <w:u w:val="none"/>
                <w:lang w:val="en-US" w:eastAsia="zh-CN" w:bidi="ar"/>
              </w:rPr>
              <w:t>110</w:t>
            </w:r>
            <w:r>
              <w:rPr>
                <w:rFonts w:hint="eastAsia" w:ascii="宋体" w:hAnsi="宋体" w:eastAsia="宋体" w:cs="宋体"/>
                <w:i w:val="0"/>
                <w:iCs w:val="0"/>
                <w:color w:val="000000"/>
                <w:kern w:val="0"/>
                <w:sz w:val="18"/>
                <w:szCs w:val="18"/>
                <w:u w:val="none"/>
                <w:lang w:val="en-US" w:eastAsia="zh-CN" w:bidi="ar"/>
              </w:rPr>
              <w:t>人次，超额完成计划。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 w:hRule="atLeast"/>
        </w:trPr>
        <w:tc>
          <w:tcPr>
            <w:tcW w:w="59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年度绩效指标</w:t>
            </w:r>
          </w:p>
        </w:tc>
        <w:tc>
          <w:tcPr>
            <w:tcW w:w="6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iCs w:val="0"/>
                <w:color w:val="555555"/>
                <w:sz w:val="18"/>
                <w:szCs w:val="18"/>
                <w:u w:val="none"/>
              </w:rPr>
            </w:pPr>
            <w:r>
              <w:rPr>
                <w:rFonts w:hint="eastAsia" w:ascii="宋体" w:hAnsi="宋体" w:eastAsia="宋体" w:cs="宋体"/>
                <w:i w:val="0"/>
                <w:iCs w:val="0"/>
                <w:color w:val="555555"/>
                <w:kern w:val="0"/>
                <w:sz w:val="18"/>
                <w:szCs w:val="18"/>
                <w:u w:val="none"/>
                <w:lang w:val="en-US" w:eastAsia="zh-CN" w:bidi="ar"/>
              </w:rPr>
              <w:t>一级指标</w:t>
            </w:r>
          </w:p>
        </w:tc>
        <w:tc>
          <w:tcPr>
            <w:tcW w:w="6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iCs w:val="0"/>
                <w:color w:val="555555"/>
                <w:sz w:val="18"/>
                <w:szCs w:val="18"/>
                <w:u w:val="none"/>
              </w:rPr>
            </w:pPr>
            <w:r>
              <w:rPr>
                <w:rFonts w:hint="eastAsia" w:ascii="宋体" w:hAnsi="宋体" w:eastAsia="宋体" w:cs="宋体"/>
                <w:i w:val="0"/>
                <w:iCs w:val="0"/>
                <w:color w:val="555555"/>
                <w:kern w:val="0"/>
                <w:sz w:val="18"/>
                <w:szCs w:val="18"/>
                <w:u w:val="none"/>
                <w:lang w:val="en-US" w:eastAsia="zh-CN" w:bidi="ar"/>
              </w:rPr>
              <w:t>二级指标</w:t>
            </w:r>
          </w:p>
        </w:tc>
        <w:tc>
          <w:tcPr>
            <w:tcW w:w="6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iCs w:val="0"/>
                <w:color w:val="555555"/>
                <w:sz w:val="18"/>
                <w:szCs w:val="18"/>
                <w:u w:val="none"/>
              </w:rPr>
            </w:pPr>
            <w:r>
              <w:rPr>
                <w:rFonts w:hint="eastAsia" w:ascii="宋体" w:hAnsi="宋体" w:eastAsia="宋体" w:cs="宋体"/>
                <w:i w:val="0"/>
                <w:iCs w:val="0"/>
                <w:color w:val="555555"/>
                <w:kern w:val="0"/>
                <w:sz w:val="18"/>
                <w:szCs w:val="18"/>
                <w:u w:val="none"/>
                <w:lang w:val="en-US" w:eastAsia="zh-CN" w:bidi="ar"/>
              </w:rPr>
              <w:t>三级指标</w:t>
            </w:r>
          </w:p>
        </w:tc>
        <w:tc>
          <w:tcPr>
            <w:tcW w:w="6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iCs w:val="0"/>
                <w:color w:val="555555"/>
                <w:sz w:val="18"/>
                <w:szCs w:val="18"/>
                <w:u w:val="none"/>
              </w:rPr>
            </w:pPr>
            <w:r>
              <w:rPr>
                <w:rFonts w:hint="eastAsia" w:ascii="宋体" w:hAnsi="宋体" w:eastAsia="宋体" w:cs="宋体"/>
                <w:i w:val="0"/>
                <w:iCs w:val="0"/>
                <w:color w:val="555555"/>
                <w:kern w:val="0"/>
                <w:sz w:val="18"/>
                <w:szCs w:val="18"/>
                <w:u w:val="none"/>
                <w:lang w:val="en-US" w:eastAsia="zh-CN" w:bidi="ar"/>
              </w:rPr>
              <w:t>年度指标值</w:t>
            </w:r>
          </w:p>
        </w:tc>
        <w:tc>
          <w:tcPr>
            <w:tcW w:w="3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iCs w:val="0"/>
                <w:color w:val="D9001B"/>
                <w:sz w:val="18"/>
                <w:szCs w:val="18"/>
                <w:u w:val="none"/>
              </w:rPr>
            </w:pPr>
            <w:r>
              <w:rPr>
                <w:rFonts w:hint="default" w:ascii="Times New Roman" w:hAnsi="Times New Roman" w:eastAsia="宋体" w:cs="Times New Roman"/>
                <w:i w:val="0"/>
                <w:iCs w:val="0"/>
                <w:color w:val="D9001B"/>
                <w:kern w:val="0"/>
                <w:sz w:val="18"/>
                <w:szCs w:val="18"/>
                <w:u w:val="none"/>
                <w:lang w:val="en-US" w:eastAsia="zh-CN" w:bidi="ar"/>
              </w:rPr>
              <w:t xml:space="preserve">* </w:t>
            </w:r>
            <w:r>
              <w:rPr>
                <w:rFonts w:hint="eastAsia" w:ascii="宋体" w:hAnsi="宋体" w:eastAsia="宋体" w:cs="宋体"/>
                <w:i w:val="0"/>
                <w:iCs w:val="0"/>
                <w:color w:val="555555"/>
                <w:kern w:val="0"/>
                <w:sz w:val="18"/>
                <w:szCs w:val="18"/>
                <w:u w:val="none"/>
                <w:lang w:val="en-US" w:eastAsia="zh-CN" w:bidi="ar"/>
              </w:rPr>
              <w:t>实际完成值</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iCs w:val="0"/>
                <w:color w:val="D9001B"/>
                <w:sz w:val="18"/>
                <w:szCs w:val="18"/>
                <w:u w:val="none"/>
              </w:rPr>
            </w:pPr>
            <w:r>
              <w:rPr>
                <w:rFonts w:hint="default" w:ascii="Times New Roman" w:hAnsi="Times New Roman" w:eastAsia="宋体" w:cs="Times New Roman"/>
                <w:i w:val="0"/>
                <w:iCs w:val="0"/>
                <w:color w:val="D9001B"/>
                <w:kern w:val="0"/>
                <w:sz w:val="18"/>
                <w:szCs w:val="18"/>
                <w:u w:val="none"/>
                <w:lang w:val="en-US" w:eastAsia="zh-CN" w:bidi="ar"/>
              </w:rPr>
              <w:t xml:space="preserve">* </w:t>
            </w:r>
            <w:r>
              <w:rPr>
                <w:rFonts w:hint="eastAsia" w:ascii="宋体" w:hAnsi="宋体" w:eastAsia="宋体" w:cs="宋体"/>
                <w:i w:val="0"/>
                <w:iCs w:val="0"/>
                <w:color w:val="555555"/>
                <w:kern w:val="0"/>
                <w:sz w:val="18"/>
                <w:szCs w:val="18"/>
                <w:u w:val="none"/>
                <w:lang w:val="en-US" w:eastAsia="zh-CN" w:bidi="ar"/>
              </w:rPr>
              <w:t>分值</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iCs w:val="0"/>
                <w:color w:val="D9001B"/>
                <w:sz w:val="18"/>
                <w:szCs w:val="18"/>
                <w:u w:val="none"/>
              </w:rPr>
            </w:pPr>
            <w:r>
              <w:rPr>
                <w:rFonts w:hint="default" w:ascii="Times New Roman" w:hAnsi="Times New Roman" w:eastAsia="宋体" w:cs="Times New Roman"/>
                <w:i w:val="0"/>
                <w:iCs w:val="0"/>
                <w:color w:val="D9001B"/>
                <w:kern w:val="0"/>
                <w:sz w:val="18"/>
                <w:szCs w:val="18"/>
                <w:u w:val="none"/>
                <w:lang w:val="en-US" w:eastAsia="zh-CN" w:bidi="ar"/>
              </w:rPr>
              <w:t xml:space="preserve">* </w:t>
            </w:r>
            <w:r>
              <w:rPr>
                <w:rFonts w:hint="eastAsia" w:ascii="宋体" w:hAnsi="宋体" w:eastAsia="宋体" w:cs="宋体"/>
                <w:i w:val="0"/>
                <w:iCs w:val="0"/>
                <w:color w:val="000000"/>
                <w:kern w:val="0"/>
                <w:sz w:val="18"/>
                <w:szCs w:val="18"/>
                <w:u w:val="none"/>
                <w:lang w:val="en-US" w:eastAsia="zh-CN" w:bidi="ar"/>
              </w:rPr>
              <w:t>得分</w:t>
            </w:r>
          </w:p>
        </w:tc>
        <w:tc>
          <w:tcPr>
            <w:tcW w:w="7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iCs w:val="0"/>
                <w:color w:val="555555"/>
                <w:sz w:val="18"/>
                <w:szCs w:val="18"/>
                <w:u w:val="none"/>
              </w:rPr>
            </w:pPr>
            <w:r>
              <w:rPr>
                <w:rFonts w:hint="eastAsia" w:ascii="宋体" w:hAnsi="宋体" w:eastAsia="宋体" w:cs="宋体"/>
                <w:i w:val="0"/>
                <w:iCs w:val="0"/>
                <w:color w:val="555555"/>
                <w:kern w:val="0"/>
                <w:sz w:val="18"/>
                <w:szCs w:val="18"/>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5" w:hRule="atLeast"/>
        </w:trPr>
        <w:tc>
          <w:tcPr>
            <w:tcW w:w="5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cs="Times New Roman"/>
                <w:i w:val="0"/>
                <w:iCs w:val="0"/>
                <w:color w:val="000000"/>
                <w:sz w:val="18"/>
                <w:szCs w:val="18"/>
                <w:u w:val="none"/>
              </w:rPr>
            </w:pPr>
          </w:p>
        </w:tc>
        <w:tc>
          <w:tcPr>
            <w:tcW w:w="67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w:t>
            </w:r>
            <w:r>
              <w:rPr>
                <w:rFonts w:hint="default" w:ascii="Times New Roman" w:hAnsi="Times New Roman" w:eastAsia="宋体" w:cs="Times New Roman"/>
                <w:i w:val="0"/>
                <w:iCs w:val="0"/>
                <w:color w:val="000000"/>
                <w:kern w:val="0"/>
                <w:sz w:val="18"/>
                <w:szCs w:val="18"/>
                <w:u w:val="none"/>
                <w:lang w:val="en-US" w:eastAsia="zh-CN" w:bidi="ar"/>
              </w:rPr>
              <w:br w:type="textWrapping"/>
            </w:r>
            <w:r>
              <w:rPr>
                <w:rFonts w:hint="default" w:ascii="Times New Roman" w:hAnsi="Times New Roman" w:eastAsia="宋体" w:cs="Times New Roman"/>
                <w:i w:val="0"/>
                <w:iCs w:val="0"/>
                <w:color w:val="000000"/>
                <w:kern w:val="0"/>
                <w:sz w:val="18"/>
                <w:szCs w:val="18"/>
                <w:u w:val="none"/>
                <w:lang w:val="en-US" w:eastAsia="zh-CN" w:bidi="ar"/>
              </w:rPr>
              <w:t>(50</w:t>
            </w:r>
            <w:r>
              <w:rPr>
                <w:rFonts w:hint="eastAsia" w:ascii="宋体" w:hAnsi="宋体" w:eastAsia="宋体" w:cs="宋体"/>
                <w:i w:val="0"/>
                <w:iCs w:val="0"/>
                <w:color w:val="000000"/>
                <w:kern w:val="0"/>
                <w:sz w:val="18"/>
                <w:szCs w:val="18"/>
                <w:u w:val="none"/>
                <w:lang w:val="en-US" w:eastAsia="zh-CN" w:bidi="ar"/>
              </w:rPr>
              <w:t>分</w:t>
            </w:r>
            <w:r>
              <w:rPr>
                <w:rFonts w:hint="default" w:ascii="Times New Roman" w:hAnsi="Times New Roman" w:eastAsia="宋体" w:cs="Times New Roman"/>
                <w:i w:val="0"/>
                <w:iCs w:val="0"/>
                <w:color w:val="000000"/>
                <w:kern w:val="0"/>
                <w:sz w:val="18"/>
                <w:szCs w:val="18"/>
                <w:u w:val="none"/>
                <w:lang w:val="en-US" w:eastAsia="zh-CN" w:bidi="ar"/>
              </w:rPr>
              <w:t>)</w:t>
            </w:r>
          </w:p>
        </w:tc>
        <w:tc>
          <w:tcPr>
            <w:tcW w:w="6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数量</w:t>
            </w:r>
          </w:p>
        </w:tc>
        <w:tc>
          <w:tcPr>
            <w:tcW w:w="6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参加培训教职工人次</w:t>
            </w:r>
          </w:p>
        </w:tc>
        <w:tc>
          <w:tcPr>
            <w:tcW w:w="6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iCs w:val="0"/>
                <w:color w:val="333333"/>
                <w:sz w:val="18"/>
                <w:szCs w:val="18"/>
                <w:u w:val="none"/>
              </w:rPr>
            </w:pPr>
            <w:r>
              <w:rPr>
                <w:rFonts w:hint="default" w:ascii="Times New Roman" w:hAnsi="Times New Roman" w:eastAsia="宋体" w:cs="Times New Roman"/>
                <w:i w:val="0"/>
                <w:iCs w:val="0"/>
                <w:color w:val="333333"/>
                <w:kern w:val="0"/>
                <w:sz w:val="18"/>
                <w:szCs w:val="18"/>
                <w:u w:val="none"/>
                <w:lang w:val="en-US" w:eastAsia="zh-CN" w:bidi="ar"/>
              </w:rPr>
              <w:t>≥50</w:t>
            </w:r>
          </w:p>
        </w:tc>
        <w:tc>
          <w:tcPr>
            <w:tcW w:w="3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iCs w:val="0"/>
                <w:color w:val="333333"/>
                <w:sz w:val="18"/>
                <w:szCs w:val="18"/>
                <w:u w:val="none"/>
              </w:rPr>
            </w:pPr>
            <w:r>
              <w:rPr>
                <w:rFonts w:hint="default" w:ascii="Times New Roman" w:hAnsi="Times New Roman" w:eastAsia="宋体" w:cs="Times New Roman"/>
                <w:i w:val="0"/>
                <w:iCs w:val="0"/>
                <w:color w:val="333333"/>
                <w:kern w:val="0"/>
                <w:sz w:val="18"/>
                <w:szCs w:val="18"/>
                <w:u w:val="none"/>
                <w:lang w:val="en-US" w:eastAsia="zh-CN" w:bidi="ar"/>
              </w:rPr>
              <w:t>110</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iCs w:val="0"/>
                <w:color w:val="333333"/>
                <w:sz w:val="18"/>
                <w:szCs w:val="18"/>
                <w:u w:val="none"/>
              </w:rPr>
            </w:pPr>
            <w:r>
              <w:rPr>
                <w:rFonts w:hint="default" w:ascii="Times New Roman" w:hAnsi="Times New Roman" w:eastAsia="宋体" w:cs="Times New Roman"/>
                <w:i w:val="0"/>
                <w:iCs w:val="0"/>
                <w:color w:val="333333"/>
                <w:kern w:val="0"/>
                <w:sz w:val="18"/>
                <w:szCs w:val="18"/>
                <w:u w:val="none"/>
                <w:lang w:val="en-US" w:eastAsia="zh-CN" w:bidi="ar"/>
              </w:rPr>
              <w:t>7</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iCs w:val="0"/>
                <w:color w:val="333333"/>
                <w:sz w:val="18"/>
                <w:szCs w:val="18"/>
                <w:u w:val="none"/>
              </w:rPr>
            </w:pPr>
            <w:r>
              <w:rPr>
                <w:rFonts w:hint="default" w:ascii="Times New Roman" w:hAnsi="Times New Roman" w:eastAsia="宋体" w:cs="Times New Roman"/>
                <w:i w:val="0"/>
                <w:iCs w:val="0"/>
                <w:color w:val="333333"/>
                <w:kern w:val="0"/>
                <w:sz w:val="18"/>
                <w:szCs w:val="18"/>
                <w:u w:val="none"/>
                <w:lang w:val="en-US" w:eastAsia="zh-CN" w:bidi="ar"/>
              </w:rPr>
              <w:t>4.67</w:t>
            </w:r>
          </w:p>
        </w:tc>
        <w:tc>
          <w:tcPr>
            <w:tcW w:w="7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i w:val="0"/>
                <w:iCs w:val="0"/>
                <w:color w:val="333333"/>
                <w:sz w:val="18"/>
                <w:szCs w:val="18"/>
                <w:u w:val="none"/>
              </w:rPr>
            </w:pPr>
            <w:r>
              <w:rPr>
                <w:rFonts w:hint="default" w:ascii="Times New Roman" w:hAnsi="Times New Roman" w:eastAsia="宋体" w:cs="Times New Roman"/>
                <w:i w:val="0"/>
                <w:iCs w:val="0"/>
                <w:color w:val="333333"/>
                <w:kern w:val="0"/>
                <w:sz w:val="18"/>
                <w:szCs w:val="18"/>
                <w:u w:val="none"/>
                <w:lang w:val="en-US" w:eastAsia="zh-CN" w:bidi="ar"/>
              </w:rPr>
              <w:t>1.</w:t>
            </w:r>
            <w:r>
              <w:rPr>
                <w:rFonts w:hint="eastAsia" w:ascii="宋体" w:hAnsi="宋体" w:eastAsia="宋体" w:cs="宋体"/>
                <w:i w:val="0"/>
                <w:iCs w:val="0"/>
                <w:color w:val="333333"/>
                <w:kern w:val="0"/>
                <w:sz w:val="18"/>
                <w:szCs w:val="18"/>
                <w:u w:val="none"/>
                <w:lang w:val="en-US" w:eastAsia="zh-CN" w:bidi="ar"/>
              </w:rPr>
              <w:t>年度指标值设置偏低；</w:t>
            </w:r>
            <w:r>
              <w:rPr>
                <w:rFonts w:hint="default" w:ascii="Times New Roman" w:hAnsi="Times New Roman" w:eastAsia="宋体" w:cs="Times New Roman"/>
                <w:i w:val="0"/>
                <w:iCs w:val="0"/>
                <w:color w:val="333333"/>
                <w:kern w:val="0"/>
                <w:sz w:val="18"/>
                <w:szCs w:val="18"/>
                <w:u w:val="none"/>
                <w:lang w:val="en-US" w:eastAsia="zh-CN" w:bidi="ar"/>
              </w:rPr>
              <w:br w:type="textWrapping"/>
            </w:r>
            <w:r>
              <w:rPr>
                <w:rFonts w:hint="default" w:ascii="Times New Roman" w:hAnsi="Times New Roman" w:eastAsia="宋体" w:cs="Times New Roman"/>
                <w:i w:val="0"/>
                <w:iCs w:val="0"/>
                <w:color w:val="333333"/>
                <w:kern w:val="0"/>
                <w:sz w:val="18"/>
                <w:szCs w:val="18"/>
                <w:u w:val="none"/>
                <w:lang w:val="en-US" w:eastAsia="zh-CN" w:bidi="ar"/>
              </w:rPr>
              <w:t>2.</w:t>
            </w:r>
            <w:r>
              <w:rPr>
                <w:rFonts w:hint="eastAsia" w:ascii="宋体" w:hAnsi="宋体" w:eastAsia="宋体" w:cs="宋体"/>
                <w:i w:val="0"/>
                <w:iCs w:val="0"/>
                <w:color w:val="333333"/>
                <w:kern w:val="0"/>
                <w:sz w:val="18"/>
                <w:szCs w:val="18"/>
                <w:u w:val="none"/>
                <w:lang w:val="en-US" w:eastAsia="zh-CN" w:bidi="ar"/>
              </w:rPr>
              <w:t>根据实际情况，调整年度指标值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cs="Times New Roman"/>
                <w:i w:val="0"/>
                <w:iCs w:val="0"/>
                <w:color w:val="000000"/>
                <w:sz w:val="18"/>
                <w:szCs w:val="18"/>
                <w:u w:val="none"/>
              </w:rPr>
            </w:pPr>
          </w:p>
        </w:tc>
        <w:tc>
          <w:tcPr>
            <w:tcW w:w="67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cs="Times New Roman"/>
                <w:i w:val="0"/>
                <w:iCs w:val="0"/>
                <w:color w:val="000000"/>
                <w:sz w:val="18"/>
                <w:szCs w:val="18"/>
                <w:u w:val="none"/>
              </w:rPr>
            </w:pPr>
          </w:p>
        </w:tc>
        <w:tc>
          <w:tcPr>
            <w:tcW w:w="6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数量</w:t>
            </w:r>
          </w:p>
        </w:tc>
        <w:tc>
          <w:tcPr>
            <w:tcW w:w="6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新建设教学专业</w:t>
            </w:r>
          </w:p>
        </w:tc>
        <w:tc>
          <w:tcPr>
            <w:tcW w:w="6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iCs w:val="0"/>
                <w:color w:val="333333"/>
                <w:sz w:val="18"/>
                <w:szCs w:val="18"/>
                <w:u w:val="none"/>
              </w:rPr>
            </w:pPr>
            <w:r>
              <w:rPr>
                <w:rFonts w:hint="default" w:ascii="Times New Roman" w:hAnsi="Times New Roman" w:eastAsia="宋体" w:cs="Times New Roman"/>
                <w:i w:val="0"/>
                <w:iCs w:val="0"/>
                <w:color w:val="333333"/>
                <w:kern w:val="0"/>
                <w:sz w:val="18"/>
                <w:szCs w:val="18"/>
                <w:u w:val="none"/>
                <w:lang w:val="en-US" w:eastAsia="zh-CN" w:bidi="ar"/>
              </w:rPr>
              <w:t>≥1</w:t>
            </w:r>
          </w:p>
        </w:tc>
        <w:tc>
          <w:tcPr>
            <w:tcW w:w="3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iCs w:val="0"/>
                <w:color w:val="333333"/>
                <w:sz w:val="18"/>
                <w:szCs w:val="18"/>
                <w:u w:val="none"/>
              </w:rPr>
            </w:pPr>
            <w:r>
              <w:rPr>
                <w:rFonts w:hint="default" w:ascii="Times New Roman" w:hAnsi="Times New Roman" w:eastAsia="宋体" w:cs="Times New Roman"/>
                <w:i w:val="0"/>
                <w:iCs w:val="0"/>
                <w:color w:val="333333"/>
                <w:kern w:val="0"/>
                <w:sz w:val="18"/>
                <w:szCs w:val="18"/>
                <w:u w:val="none"/>
                <w:lang w:val="en-US" w:eastAsia="zh-CN" w:bidi="ar"/>
              </w:rPr>
              <w:t>2</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iCs w:val="0"/>
                <w:color w:val="333333"/>
                <w:sz w:val="18"/>
                <w:szCs w:val="18"/>
                <w:u w:val="none"/>
              </w:rPr>
            </w:pPr>
            <w:r>
              <w:rPr>
                <w:rFonts w:hint="default" w:ascii="Times New Roman" w:hAnsi="Times New Roman" w:eastAsia="宋体" w:cs="Times New Roman"/>
                <w:i w:val="0"/>
                <w:iCs w:val="0"/>
                <w:color w:val="333333"/>
                <w:kern w:val="0"/>
                <w:sz w:val="18"/>
                <w:szCs w:val="18"/>
                <w:u w:val="none"/>
                <w:lang w:val="en-US" w:eastAsia="zh-CN" w:bidi="ar"/>
              </w:rPr>
              <w:t>7</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iCs w:val="0"/>
                <w:color w:val="333333"/>
                <w:sz w:val="18"/>
                <w:szCs w:val="18"/>
                <w:u w:val="none"/>
              </w:rPr>
            </w:pPr>
            <w:r>
              <w:rPr>
                <w:rFonts w:hint="default" w:ascii="Times New Roman" w:hAnsi="Times New Roman" w:eastAsia="宋体" w:cs="Times New Roman"/>
                <w:i w:val="0"/>
                <w:iCs w:val="0"/>
                <w:color w:val="333333"/>
                <w:kern w:val="0"/>
                <w:sz w:val="18"/>
                <w:szCs w:val="18"/>
                <w:u w:val="none"/>
                <w:lang w:val="en-US" w:eastAsia="zh-CN" w:bidi="ar"/>
              </w:rPr>
              <w:t>7</w:t>
            </w:r>
          </w:p>
        </w:tc>
        <w:tc>
          <w:tcPr>
            <w:tcW w:w="7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cs="Times New Roman"/>
                <w:i w:val="0"/>
                <w:iCs w:val="0"/>
                <w:color w:val="333333"/>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cs="Times New Roman"/>
                <w:i w:val="0"/>
                <w:iCs w:val="0"/>
                <w:color w:val="000000"/>
                <w:sz w:val="18"/>
                <w:szCs w:val="18"/>
                <w:u w:val="none"/>
              </w:rPr>
            </w:pPr>
          </w:p>
        </w:tc>
        <w:tc>
          <w:tcPr>
            <w:tcW w:w="67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cs="Times New Roman"/>
                <w:i w:val="0"/>
                <w:iCs w:val="0"/>
                <w:color w:val="000000"/>
                <w:sz w:val="18"/>
                <w:szCs w:val="18"/>
                <w:u w:val="none"/>
              </w:rPr>
            </w:pPr>
          </w:p>
        </w:tc>
        <w:tc>
          <w:tcPr>
            <w:tcW w:w="6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质量</w:t>
            </w:r>
          </w:p>
        </w:tc>
        <w:tc>
          <w:tcPr>
            <w:tcW w:w="6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培训出勤率</w:t>
            </w:r>
          </w:p>
        </w:tc>
        <w:tc>
          <w:tcPr>
            <w:tcW w:w="6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iCs w:val="0"/>
                <w:color w:val="333333"/>
                <w:sz w:val="18"/>
                <w:szCs w:val="18"/>
                <w:u w:val="none"/>
              </w:rPr>
            </w:pPr>
            <w:r>
              <w:rPr>
                <w:rFonts w:hint="default" w:ascii="Times New Roman" w:hAnsi="Times New Roman" w:eastAsia="宋体" w:cs="Times New Roman"/>
                <w:i w:val="0"/>
                <w:iCs w:val="0"/>
                <w:color w:val="333333"/>
                <w:kern w:val="0"/>
                <w:sz w:val="18"/>
                <w:szCs w:val="18"/>
                <w:u w:val="none"/>
                <w:lang w:val="en-US" w:eastAsia="zh-CN" w:bidi="ar"/>
              </w:rPr>
              <w:t>≥95%</w:t>
            </w:r>
          </w:p>
        </w:tc>
        <w:tc>
          <w:tcPr>
            <w:tcW w:w="3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iCs w:val="0"/>
                <w:color w:val="333333"/>
                <w:sz w:val="18"/>
                <w:szCs w:val="18"/>
                <w:u w:val="none"/>
              </w:rPr>
            </w:pPr>
            <w:r>
              <w:rPr>
                <w:rFonts w:hint="default" w:ascii="Times New Roman" w:hAnsi="Times New Roman" w:eastAsia="宋体" w:cs="Times New Roman"/>
                <w:i w:val="0"/>
                <w:iCs w:val="0"/>
                <w:color w:val="333333"/>
                <w:kern w:val="0"/>
                <w:sz w:val="18"/>
                <w:szCs w:val="18"/>
                <w:u w:val="none"/>
                <w:lang w:val="en-US" w:eastAsia="zh-CN" w:bidi="ar"/>
              </w:rPr>
              <w:t>100%</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iCs w:val="0"/>
                <w:color w:val="333333"/>
                <w:sz w:val="18"/>
                <w:szCs w:val="18"/>
                <w:u w:val="none"/>
              </w:rPr>
            </w:pPr>
            <w:r>
              <w:rPr>
                <w:rFonts w:hint="default" w:ascii="Times New Roman" w:hAnsi="Times New Roman" w:eastAsia="宋体" w:cs="Times New Roman"/>
                <w:i w:val="0"/>
                <w:iCs w:val="0"/>
                <w:color w:val="333333"/>
                <w:kern w:val="0"/>
                <w:sz w:val="18"/>
                <w:szCs w:val="18"/>
                <w:u w:val="none"/>
                <w:lang w:val="en-US" w:eastAsia="zh-CN" w:bidi="ar"/>
              </w:rPr>
              <w:t>7</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iCs w:val="0"/>
                <w:color w:val="333333"/>
                <w:sz w:val="18"/>
                <w:szCs w:val="18"/>
                <w:u w:val="none"/>
              </w:rPr>
            </w:pPr>
            <w:r>
              <w:rPr>
                <w:rFonts w:hint="default" w:ascii="Times New Roman" w:hAnsi="Times New Roman" w:eastAsia="宋体" w:cs="Times New Roman"/>
                <w:i w:val="0"/>
                <w:iCs w:val="0"/>
                <w:color w:val="333333"/>
                <w:kern w:val="0"/>
                <w:sz w:val="18"/>
                <w:szCs w:val="18"/>
                <w:u w:val="none"/>
                <w:lang w:val="en-US" w:eastAsia="zh-CN" w:bidi="ar"/>
              </w:rPr>
              <w:t>7</w:t>
            </w:r>
          </w:p>
        </w:tc>
        <w:tc>
          <w:tcPr>
            <w:tcW w:w="7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cs="Times New Roman"/>
                <w:b/>
                <w:bCs/>
                <w:i w:val="0"/>
                <w:iCs w:val="0"/>
                <w:color w:val="333333"/>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cs="Times New Roman"/>
                <w:i w:val="0"/>
                <w:iCs w:val="0"/>
                <w:color w:val="000000"/>
                <w:sz w:val="18"/>
                <w:szCs w:val="18"/>
                <w:u w:val="none"/>
              </w:rPr>
            </w:pPr>
          </w:p>
        </w:tc>
        <w:tc>
          <w:tcPr>
            <w:tcW w:w="67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cs="Times New Roman"/>
                <w:i w:val="0"/>
                <w:iCs w:val="0"/>
                <w:color w:val="000000"/>
                <w:sz w:val="18"/>
                <w:szCs w:val="18"/>
                <w:u w:val="none"/>
              </w:rPr>
            </w:pPr>
          </w:p>
        </w:tc>
        <w:tc>
          <w:tcPr>
            <w:tcW w:w="6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质量</w:t>
            </w:r>
          </w:p>
        </w:tc>
        <w:tc>
          <w:tcPr>
            <w:tcW w:w="6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验收合格率</w:t>
            </w:r>
          </w:p>
        </w:tc>
        <w:tc>
          <w:tcPr>
            <w:tcW w:w="6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iCs w:val="0"/>
                <w:color w:val="333333"/>
                <w:sz w:val="18"/>
                <w:szCs w:val="18"/>
                <w:u w:val="none"/>
              </w:rPr>
            </w:pPr>
            <w:r>
              <w:rPr>
                <w:rFonts w:hint="default" w:ascii="Times New Roman" w:hAnsi="Times New Roman" w:eastAsia="宋体" w:cs="Times New Roman"/>
                <w:i w:val="0"/>
                <w:iCs w:val="0"/>
                <w:color w:val="333333"/>
                <w:kern w:val="0"/>
                <w:sz w:val="18"/>
                <w:szCs w:val="18"/>
                <w:u w:val="none"/>
                <w:lang w:val="en-US" w:eastAsia="zh-CN" w:bidi="ar"/>
              </w:rPr>
              <w:t>100%</w:t>
            </w:r>
          </w:p>
        </w:tc>
        <w:tc>
          <w:tcPr>
            <w:tcW w:w="3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iCs w:val="0"/>
                <w:color w:val="333333"/>
                <w:sz w:val="18"/>
                <w:szCs w:val="18"/>
                <w:u w:val="none"/>
              </w:rPr>
            </w:pPr>
            <w:r>
              <w:rPr>
                <w:rFonts w:hint="default" w:ascii="Times New Roman" w:hAnsi="Times New Roman" w:eastAsia="宋体" w:cs="Times New Roman"/>
                <w:i w:val="0"/>
                <w:iCs w:val="0"/>
                <w:color w:val="333333"/>
                <w:kern w:val="0"/>
                <w:sz w:val="18"/>
                <w:szCs w:val="18"/>
                <w:u w:val="none"/>
                <w:lang w:val="en-US" w:eastAsia="zh-CN" w:bidi="ar"/>
              </w:rPr>
              <w:t>100%</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iCs w:val="0"/>
                <w:color w:val="333333"/>
                <w:sz w:val="18"/>
                <w:szCs w:val="18"/>
                <w:u w:val="none"/>
              </w:rPr>
            </w:pPr>
            <w:r>
              <w:rPr>
                <w:rFonts w:hint="default" w:ascii="Times New Roman" w:hAnsi="Times New Roman" w:eastAsia="宋体" w:cs="Times New Roman"/>
                <w:i w:val="0"/>
                <w:iCs w:val="0"/>
                <w:color w:val="333333"/>
                <w:kern w:val="0"/>
                <w:sz w:val="18"/>
                <w:szCs w:val="18"/>
                <w:u w:val="none"/>
                <w:lang w:val="en-US" w:eastAsia="zh-CN" w:bidi="ar"/>
              </w:rPr>
              <w:t>7</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iCs w:val="0"/>
                <w:color w:val="333333"/>
                <w:sz w:val="18"/>
                <w:szCs w:val="18"/>
                <w:u w:val="none"/>
              </w:rPr>
            </w:pPr>
            <w:r>
              <w:rPr>
                <w:rFonts w:hint="default" w:ascii="Times New Roman" w:hAnsi="Times New Roman" w:eastAsia="宋体" w:cs="Times New Roman"/>
                <w:i w:val="0"/>
                <w:iCs w:val="0"/>
                <w:color w:val="333333"/>
                <w:kern w:val="0"/>
                <w:sz w:val="18"/>
                <w:szCs w:val="18"/>
                <w:u w:val="none"/>
                <w:lang w:val="en-US" w:eastAsia="zh-CN" w:bidi="ar"/>
              </w:rPr>
              <w:t>7</w:t>
            </w:r>
          </w:p>
        </w:tc>
        <w:tc>
          <w:tcPr>
            <w:tcW w:w="7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cs="Times New Roman"/>
                <w:b/>
                <w:bCs/>
                <w:i w:val="0"/>
                <w:iCs w:val="0"/>
                <w:color w:val="333333"/>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5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cs="Times New Roman"/>
                <w:i w:val="0"/>
                <w:iCs w:val="0"/>
                <w:color w:val="000000"/>
                <w:sz w:val="18"/>
                <w:szCs w:val="18"/>
                <w:u w:val="none"/>
              </w:rPr>
            </w:pPr>
          </w:p>
        </w:tc>
        <w:tc>
          <w:tcPr>
            <w:tcW w:w="67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cs="Times New Roman"/>
                <w:i w:val="0"/>
                <w:iCs w:val="0"/>
                <w:color w:val="000000"/>
                <w:sz w:val="18"/>
                <w:szCs w:val="18"/>
                <w:u w:val="none"/>
              </w:rPr>
            </w:pPr>
          </w:p>
        </w:tc>
        <w:tc>
          <w:tcPr>
            <w:tcW w:w="6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时效</w:t>
            </w:r>
          </w:p>
        </w:tc>
        <w:tc>
          <w:tcPr>
            <w:tcW w:w="6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组织教职工培训及时性</w:t>
            </w:r>
          </w:p>
        </w:tc>
        <w:tc>
          <w:tcPr>
            <w:tcW w:w="6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及时</w:t>
            </w:r>
          </w:p>
        </w:tc>
        <w:tc>
          <w:tcPr>
            <w:tcW w:w="3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及时</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iCs w:val="0"/>
                <w:color w:val="333333"/>
                <w:sz w:val="18"/>
                <w:szCs w:val="18"/>
                <w:u w:val="none"/>
              </w:rPr>
            </w:pPr>
            <w:r>
              <w:rPr>
                <w:rFonts w:hint="default" w:ascii="Times New Roman" w:hAnsi="Times New Roman" w:eastAsia="宋体" w:cs="Times New Roman"/>
                <w:i w:val="0"/>
                <w:iCs w:val="0"/>
                <w:color w:val="333333"/>
                <w:kern w:val="0"/>
                <w:sz w:val="18"/>
                <w:szCs w:val="18"/>
                <w:u w:val="none"/>
                <w:lang w:val="en-US" w:eastAsia="zh-CN" w:bidi="ar"/>
              </w:rPr>
              <w:t>8</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iCs w:val="0"/>
                <w:color w:val="333333"/>
                <w:sz w:val="18"/>
                <w:szCs w:val="18"/>
                <w:u w:val="none"/>
              </w:rPr>
            </w:pPr>
            <w:r>
              <w:rPr>
                <w:rFonts w:hint="default" w:ascii="Times New Roman" w:hAnsi="Times New Roman" w:eastAsia="宋体" w:cs="Times New Roman"/>
                <w:i w:val="0"/>
                <w:iCs w:val="0"/>
                <w:color w:val="333333"/>
                <w:kern w:val="0"/>
                <w:sz w:val="18"/>
                <w:szCs w:val="18"/>
                <w:u w:val="none"/>
                <w:lang w:val="en-US" w:eastAsia="zh-CN" w:bidi="ar"/>
              </w:rPr>
              <w:t>8</w:t>
            </w:r>
          </w:p>
        </w:tc>
        <w:tc>
          <w:tcPr>
            <w:tcW w:w="7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cs="Times New Roman"/>
                <w:b/>
                <w:bCs/>
                <w:i w:val="0"/>
                <w:iCs w:val="0"/>
                <w:color w:val="333333"/>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cs="Times New Roman"/>
                <w:i w:val="0"/>
                <w:iCs w:val="0"/>
                <w:color w:val="000000"/>
                <w:sz w:val="18"/>
                <w:szCs w:val="18"/>
                <w:u w:val="none"/>
              </w:rPr>
            </w:pPr>
          </w:p>
        </w:tc>
        <w:tc>
          <w:tcPr>
            <w:tcW w:w="67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cs="Times New Roman"/>
                <w:i w:val="0"/>
                <w:iCs w:val="0"/>
                <w:color w:val="000000"/>
                <w:sz w:val="18"/>
                <w:szCs w:val="18"/>
                <w:u w:val="none"/>
              </w:rPr>
            </w:pPr>
          </w:p>
        </w:tc>
        <w:tc>
          <w:tcPr>
            <w:tcW w:w="6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时效</w:t>
            </w:r>
          </w:p>
        </w:tc>
        <w:tc>
          <w:tcPr>
            <w:tcW w:w="6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采购及时性</w:t>
            </w:r>
          </w:p>
        </w:tc>
        <w:tc>
          <w:tcPr>
            <w:tcW w:w="6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及时</w:t>
            </w:r>
          </w:p>
        </w:tc>
        <w:tc>
          <w:tcPr>
            <w:tcW w:w="3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及时</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iCs w:val="0"/>
                <w:color w:val="333333"/>
                <w:sz w:val="18"/>
                <w:szCs w:val="18"/>
                <w:u w:val="none"/>
              </w:rPr>
            </w:pPr>
            <w:r>
              <w:rPr>
                <w:rFonts w:hint="default" w:ascii="Times New Roman" w:hAnsi="Times New Roman" w:eastAsia="宋体" w:cs="Times New Roman"/>
                <w:i w:val="0"/>
                <w:iCs w:val="0"/>
                <w:color w:val="333333"/>
                <w:kern w:val="0"/>
                <w:sz w:val="18"/>
                <w:szCs w:val="18"/>
                <w:u w:val="none"/>
                <w:lang w:val="en-US" w:eastAsia="zh-CN" w:bidi="ar"/>
              </w:rPr>
              <w:t>7</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iCs w:val="0"/>
                <w:color w:val="333333"/>
                <w:sz w:val="18"/>
                <w:szCs w:val="18"/>
                <w:u w:val="none"/>
              </w:rPr>
            </w:pPr>
            <w:r>
              <w:rPr>
                <w:rFonts w:hint="default" w:ascii="Times New Roman" w:hAnsi="Times New Roman" w:eastAsia="宋体" w:cs="Times New Roman"/>
                <w:i w:val="0"/>
                <w:iCs w:val="0"/>
                <w:color w:val="333333"/>
                <w:kern w:val="0"/>
                <w:sz w:val="18"/>
                <w:szCs w:val="18"/>
                <w:u w:val="none"/>
                <w:lang w:val="en-US" w:eastAsia="zh-CN" w:bidi="ar"/>
              </w:rPr>
              <w:t>7</w:t>
            </w:r>
          </w:p>
        </w:tc>
        <w:tc>
          <w:tcPr>
            <w:tcW w:w="7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cs="Times New Roman"/>
                <w:b/>
                <w:bCs/>
                <w:i w:val="0"/>
                <w:iCs w:val="0"/>
                <w:color w:val="333333"/>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50" w:hRule="atLeast"/>
        </w:trPr>
        <w:tc>
          <w:tcPr>
            <w:tcW w:w="5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cs="Times New Roman"/>
                <w:i w:val="0"/>
                <w:iCs w:val="0"/>
                <w:color w:val="000000"/>
                <w:sz w:val="18"/>
                <w:szCs w:val="18"/>
                <w:u w:val="none"/>
              </w:rPr>
            </w:pPr>
          </w:p>
        </w:tc>
        <w:tc>
          <w:tcPr>
            <w:tcW w:w="67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cs="Times New Roman"/>
                <w:i w:val="0"/>
                <w:iCs w:val="0"/>
                <w:color w:val="000000"/>
                <w:sz w:val="18"/>
                <w:szCs w:val="18"/>
                <w:u w:val="none"/>
              </w:rPr>
            </w:pPr>
          </w:p>
        </w:tc>
        <w:tc>
          <w:tcPr>
            <w:tcW w:w="6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成本</w:t>
            </w:r>
          </w:p>
        </w:tc>
        <w:tc>
          <w:tcPr>
            <w:tcW w:w="6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项目预算金额</w:t>
            </w:r>
          </w:p>
        </w:tc>
        <w:tc>
          <w:tcPr>
            <w:tcW w:w="6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iCs w:val="0"/>
                <w:color w:val="333333"/>
                <w:sz w:val="18"/>
                <w:szCs w:val="18"/>
                <w:u w:val="none"/>
              </w:rPr>
            </w:pPr>
            <w:r>
              <w:rPr>
                <w:rFonts w:hint="default" w:ascii="Times New Roman" w:hAnsi="Times New Roman" w:eastAsia="宋体" w:cs="Times New Roman"/>
                <w:i w:val="0"/>
                <w:iCs w:val="0"/>
                <w:color w:val="333333"/>
                <w:kern w:val="0"/>
                <w:sz w:val="18"/>
                <w:szCs w:val="18"/>
                <w:u w:val="none"/>
                <w:lang w:val="en-US" w:eastAsia="zh-CN" w:bidi="ar"/>
              </w:rPr>
              <w:t>150</w:t>
            </w:r>
            <w:r>
              <w:rPr>
                <w:rFonts w:hint="eastAsia" w:ascii="宋体" w:hAnsi="宋体" w:eastAsia="宋体" w:cs="宋体"/>
                <w:i w:val="0"/>
                <w:iCs w:val="0"/>
                <w:color w:val="333333"/>
                <w:kern w:val="0"/>
                <w:sz w:val="18"/>
                <w:szCs w:val="18"/>
                <w:u w:val="none"/>
                <w:lang w:val="en-US" w:eastAsia="zh-CN" w:bidi="ar"/>
              </w:rPr>
              <w:t>万元</w:t>
            </w:r>
          </w:p>
        </w:tc>
        <w:tc>
          <w:tcPr>
            <w:tcW w:w="3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iCs w:val="0"/>
                <w:color w:val="333333"/>
                <w:sz w:val="18"/>
                <w:szCs w:val="18"/>
                <w:u w:val="none"/>
              </w:rPr>
            </w:pPr>
            <w:r>
              <w:rPr>
                <w:rFonts w:hint="default" w:ascii="Times New Roman" w:hAnsi="Times New Roman" w:eastAsia="宋体" w:cs="Times New Roman"/>
                <w:i w:val="0"/>
                <w:iCs w:val="0"/>
                <w:color w:val="333333"/>
                <w:kern w:val="0"/>
                <w:sz w:val="18"/>
                <w:szCs w:val="18"/>
                <w:u w:val="none"/>
                <w:lang w:val="en-US" w:eastAsia="zh-CN" w:bidi="ar"/>
              </w:rPr>
              <w:t>139.42</w:t>
            </w:r>
            <w:r>
              <w:rPr>
                <w:rFonts w:hint="eastAsia" w:ascii="宋体" w:hAnsi="宋体" w:eastAsia="宋体" w:cs="宋体"/>
                <w:i w:val="0"/>
                <w:iCs w:val="0"/>
                <w:color w:val="333333"/>
                <w:kern w:val="0"/>
                <w:sz w:val="18"/>
                <w:szCs w:val="18"/>
                <w:u w:val="none"/>
                <w:lang w:val="en-US" w:eastAsia="zh-CN" w:bidi="ar"/>
              </w:rPr>
              <w:t>万元</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iCs w:val="0"/>
                <w:color w:val="333333"/>
                <w:sz w:val="18"/>
                <w:szCs w:val="18"/>
                <w:u w:val="none"/>
              </w:rPr>
            </w:pPr>
            <w:r>
              <w:rPr>
                <w:rFonts w:hint="default" w:ascii="Times New Roman" w:hAnsi="Times New Roman" w:eastAsia="宋体" w:cs="Times New Roman"/>
                <w:i w:val="0"/>
                <w:iCs w:val="0"/>
                <w:color w:val="333333"/>
                <w:kern w:val="0"/>
                <w:sz w:val="18"/>
                <w:szCs w:val="18"/>
                <w:u w:val="none"/>
                <w:lang w:val="en-US" w:eastAsia="zh-CN" w:bidi="ar"/>
              </w:rPr>
              <w:t>7</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iCs w:val="0"/>
                <w:color w:val="333333"/>
                <w:sz w:val="18"/>
                <w:szCs w:val="18"/>
                <w:u w:val="none"/>
              </w:rPr>
            </w:pPr>
            <w:r>
              <w:rPr>
                <w:rFonts w:hint="default" w:ascii="Times New Roman" w:hAnsi="Times New Roman" w:eastAsia="宋体" w:cs="Times New Roman"/>
                <w:i w:val="0"/>
                <w:iCs w:val="0"/>
                <w:color w:val="333333"/>
                <w:kern w:val="0"/>
                <w:sz w:val="18"/>
                <w:szCs w:val="18"/>
                <w:u w:val="none"/>
                <w:lang w:val="en-US" w:eastAsia="zh-CN" w:bidi="ar"/>
              </w:rPr>
              <w:t>6.51</w:t>
            </w:r>
          </w:p>
        </w:tc>
        <w:tc>
          <w:tcPr>
            <w:tcW w:w="7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cs="Times New Roman"/>
                <w:i w:val="0"/>
                <w:iCs w:val="0"/>
                <w:color w:val="333333"/>
                <w:sz w:val="18"/>
                <w:szCs w:val="18"/>
                <w:u w:val="none"/>
              </w:rPr>
            </w:pPr>
            <w:r>
              <w:rPr>
                <w:rFonts w:hint="default" w:ascii="Times New Roman" w:hAnsi="Times New Roman" w:eastAsia="宋体" w:cs="Times New Roman"/>
                <w:i w:val="0"/>
                <w:iCs w:val="0"/>
                <w:color w:val="333333"/>
                <w:kern w:val="0"/>
                <w:sz w:val="18"/>
                <w:szCs w:val="18"/>
                <w:u w:val="none"/>
                <w:lang w:val="en-US" w:eastAsia="zh-CN" w:bidi="ar"/>
              </w:rPr>
              <w:t>1.</w:t>
            </w:r>
            <w:r>
              <w:rPr>
                <w:rFonts w:hint="eastAsia" w:ascii="宋体" w:hAnsi="宋体" w:eastAsia="宋体" w:cs="宋体"/>
                <w:i w:val="0"/>
                <w:iCs w:val="0"/>
                <w:color w:val="333333"/>
                <w:kern w:val="0"/>
                <w:sz w:val="18"/>
                <w:szCs w:val="18"/>
                <w:u w:val="none"/>
                <w:lang w:val="en-US" w:eastAsia="zh-CN" w:bidi="ar"/>
              </w:rPr>
              <w:t>预算执行范围内偏差</w:t>
            </w:r>
            <w:r>
              <w:rPr>
                <w:rFonts w:hint="default" w:ascii="Times New Roman" w:hAnsi="Times New Roman" w:eastAsia="宋体" w:cs="Times New Roman"/>
                <w:i w:val="0"/>
                <w:iCs w:val="0"/>
                <w:color w:val="333333"/>
                <w:kern w:val="0"/>
                <w:sz w:val="18"/>
                <w:szCs w:val="18"/>
                <w:u w:val="none"/>
                <w:lang w:val="en-US" w:eastAsia="zh-CN" w:bidi="ar"/>
              </w:rPr>
              <w:br w:type="textWrapping"/>
            </w:r>
            <w:r>
              <w:rPr>
                <w:rFonts w:hint="default" w:ascii="Times New Roman" w:hAnsi="Times New Roman" w:eastAsia="宋体" w:cs="Times New Roman"/>
                <w:i w:val="0"/>
                <w:iCs w:val="0"/>
                <w:color w:val="333333"/>
                <w:kern w:val="0"/>
                <w:sz w:val="18"/>
                <w:szCs w:val="18"/>
                <w:u w:val="none"/>
                <w:lang w:val="en-US" w:eastAsia="zh-CN" w:bidi="ar"/>
              </w:rPr>
              <w:t>2.</w:t>
            </w:r>
            <w:r>
              <w:rPr>
                <w:rFonts w:hint="eastAsia" w:ascii="宋体" w:hAnsi="宋体" w:eastAsia="宋体" w:cs="宋体"/>
                <w:i w:val="0"/>
                <w:iCs w:val="0"/>
                <w:color w:val="333333"/>
                <w:kern w:val="0"/>
                <w:sz w:val="18"/>
                <w:szCs w:val="18"/>
                <w:u w:val="none"/>
                <w:lang w:val="en-US" w:eastAsia="zh-CN" w:bidi="ar"/>
              </w:rPr>
              <w:t>根据实际情况，调整年度指标值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cs="Times New Roman"/>
                <w:i w:val="0"/>
                <w:iCs w:val="0"/>
                <w:color w:val="000000"/>
                <w:sz w:val="18"/>
                <w:szCs w:val="18"/>
                <w:u w:val="none"/>
              </w:rPr>
            </w:pPr>
          </w:p>
        </w:tc>
        <w:tc>
          <w:tcPr>
            <w:tcW w:w="67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w:t>
            </w:r>
            <w:r>
              <w:rPr>
                <w:rFonts w:hint="default" w:ascii="Times New Roman" w:hAnsi="Times New Roman" w:eastAsia="宋体" w:cs="Times New Roman"/>
                <w:i w:val="0"/>
                <w:iCs w:val="0"/>
                <w:color w:val="000000"/>
                <w:kern w:val="0"/>
                <w:sz w:val="18"/>
                <w:szCs w:val="18"/>
                <w:u w:val="none"/>
                <w:lang w:val="en-US" w:eastAsia="zh-CN" w:bidi="ar"/>
              </w:rPr>
              <w:br w:type="textWrapping"/>
            </w:r>
            <w:r>
              <w:rPr>
                <w:rFonts w:hint="default" w:ascii="Times New Roman" w:hAnsi="Times New Roman" w:eastAsia="宋体" w:cs="Times New Roman"/>
                <w:i w:val="0"/>
                <w:iCs w:val="0"/>
                <w:color w:val="000000"/>
                <w:kern w:val="0"/>
                <w:sz w:val="18"/>
                <w:szCs w:val="18"/>
                <w:u w:val="none"/>
                <w:lang w:val="en-US" w:eastAsia="zh-CN" w:bidi="ar"/>
              </w:rPr>
              <w:t>(30</w:t>
            </w:r>
            <w:r>
              <w:rPr>
                <w:rFonts w:hint="eastAsia" w:ascii="宋体" w:hAnsi="宋体" w:eastAsia="宋体" w:cs="宋体"/>
                <w:i w:val="0"/>
                <w:iCs w:val="0"/>
                <w:color w:val="000000"/>
                <w:kern w:val="0"/>
                <w:sz w:val="18"/>
                <w:szCs w:val="18"/>
                <w:u w:val="none"/>
                <w:lang w:val="en-US" w:eastAsia="zh-CN" w:bidi="ar"/>
              </w:rPr>
              <w:t>分</w:t>
            </w:r>
            <w:r>
              <w:rPr>
                <w:rFonts w:hint="default" w:ascii="Times New Roman" w:hAnsi="Times New Roman" w:eastAsia="宋体" w:cs="Times New Roman"/>
                <w:i w:val="0"/>
                <w:iCs w:val="0"/>
                <w:color w:val="000000"/>
                <w:kern w:val="0"/>
                <w:sz w:val="18"/>
                <w:szCs w:val="18"/>
                <w:u w:val="none"/>
                <w:lang w:val="en-US" w:eastAsia="zh-CN" w:bidi="ar"/>
              </w:rPr>
              <w:t>)</w:t>
            </w:r>
          </w:p>
        </w:tc>
        <w:tc>
          <w:tcPr>
            <w:tcW w:w="6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经济效益</w:t>
            </w:r>
          </w:p>
        </w:tc>
        <w:tc>
          <w:tcPr>
            <w:tcW w:w="6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cs="Times New Roman"/>
                <w:i w:val="0"/>
                <w:iCs w:val="0"/>
                <w:color w:val="333333"/>
                <w:sz w:val="18"/>
                <w:szCs w:val="18"/>
                <w:u w:val="none"/>
              </w:rPr>
            </w:pPr>
          </w:p>
        </w:tc>
        <w:tc>
          <w:tcPr>
            <w:tcW w:w="6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cs="Times New Roman"/>
                <w:i w:val="0"/>
                <w:iCs w:val="0"/>
                <w:color w:val="333333"/>
                <w:sz w:val="18"/>
                <w:szCs w:val="18"/>
                <w:u w:val="none"/>
              </w:rPr>
            </w:pPr>
          </w:p>
        </w:tc>
        <w:tc>
          <w:tcPr>
            <w:tcW w:w="3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无</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iCs w:val="0"/>
                <w:color w:val="333333"/>
                <w:sz w:val="18"/>
                <w:szCs w:val="18"/>
                <w:u w:val="none"/>
              </w:rPr>
            </w:pPr>
            <w:r>
              <w:rPr>
                <w:rFonts w:hint="default" w:ascii="Times New Roman" w:hAnsi="Times New Roman" w:eastAsia="宋体" w:cs="Times New Roman"/>
                <w:i w:val="0"/>
                <w:iCs w:val="0"/>
                <w:color w:val="333333"/>
                <w:kern w:val="0"/>
                <w:sz w:val="18"/>
                <w:szCs w:val="18"/>
                <w:u w:val="none"/>
                <w:lang w:val="en-US" w:eastAsia="zh-CN" w:bidi="ar"/>
              </w:rPr>
              <w:t>0</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iCs w:val="0"/>
                <w:color w:val="333333"/>
                <w:sz w:val="18"/>
                <w:szCs w:val="18"/>
                <w:u w:val="none"/>
              </w:rPr>
            </w:pPr>
            <w:r>
              <w:rPr>
                <w:rFonts w:hint="default" w:ascii="Times New Roman" w:hAnsi="Times New Roman" w:eastAsia="宋体" w:cs="Times New Roman"/>
                <w:i w:val="0"/>
                <w:iCs w:val="0"/>
                <w:color w:val="333333"/>
                <w:kern w:val="0"/>
                <w:sz w:val="18"/>
                <w:szCs w:val="18"/>
                <w:u w:val="none"/>
                <w:lang w:val="en-US" w:eastAsia="zh-CN" w:bidi="ar"/>
              </w:rPr>
              <w:t>0</w:t>
            </w:r>
          </w:p>
        </w:tc>
        <w:tc>
          <w:tcPr>
            <w:tcW w:w="7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cs="Times New Roman"/>
                <w:b/>
                <w:bCs/>
                <w:i w:val="0"/>
                <w:iCs w:val="0"/>
                <w:color w:val="333333"/>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cs="Times New Roman"/>
                <w:i w:val="0"/>
                <w:iCs w:val="0"/>
                <w:color w:val="000000"/>
                <w:sz w:val="18"/>
                <w:szCs w:val="18"/>
                <w:u w:val="none"/>
              </w:rPr>
            </w:pPr>
          </w:p>
        </w:tc>
        <w:tc>
          <w:tcPr>
            <w:tcW w:w="67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cs="Times New Roman"/>
                <w:i w:val="0"/>
                <w:iCs w:val="0"/>
                <w:color w:val="000000"/>
                <w:sz w:val="18"/>
                <w:szCs w:val="18"/>
                <w:u w:val="none"/>
              </w:rPr>
            </w:pPr>
          </w:p>
        </w:tc>
        <w:tc>
          <w:tcPr>
            <w:tcW w:w="6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社会效益</w:t>
            </w:r>
          </w:p>
        </w:tc>
        <w:tc>
          <w:tcPr>
            <w:tcW w:w="6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技能人才培养能力</w:t>
            </w:r>
          </w:p>
        </w:tc>
        <w:tc>
          <w:tcPr>
            <w:tcW w:w="6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增强</w:t>
            </w:r>
          </w:p>
        </w:tc>
        <w:tc>
          <w:tcPr>
            <w:tcW w:w="3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增强</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iCs w:val="0"/>
                <w:color w:val="333333"/>
                <w:sz w:val="18"/>
                <w:szCs w:val="18"/>
                <w:u w:val="none"/>
              </w:rPr>
            </w:pPr>
            <w:r>
              <w:rPr>
                <w:rFonts w:hint="default" w:ascii="Times New Roman" w:hAnsi="Times New Roman" w:eastAsia="宋体" w:cs="Times New Roman"/>
                <w:i w:val="0"/>
                <w:iCs w:val="0"/>
                <w:color w:val="333333"/>
                <w:kern w:val="0"/>
                <w:sz w:val="18"/>
                <w:szCs w:val="18"/>
                <w:u w:val="none"/>
                <w:lang w:val="en-US" w:eastAsia="zh-CN" w:bidi="ar"/>
              </w:rPr>
              <w:t>30</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iCs w:val="0"/>
                <w:color w:val="333333"/>
                <w:sz w:val="18"/>
                <w:szCs w:val="18"/>
                <w:u w:val="none"/>
              </w:rPr>
            </w:pPr>
            <w:r>
              <w:rPr>
                <w:rFonts w:hint="default" w:ascii="Times New Roman" w:hAnsi="Times New Roman" w:eastAsia="宋体" w:cs="Times New Roman"/>
                <w:i w:val="0"/>
                <w:iCs w:val="0"/>
                <w:color w:val="333333"/>
                <w:kern w:val="0"/>
                <w:sz w:val="18"/>
                <w:szCs w:val="18"/>
                <w:u w:val="none"/>
                <w:lang w:val="en-US" w:eastAsia="zh-CN" w:bidi="ar"/>
              </w:rPr>
              <w:t>30</w:t>
            </w:r>
          </w:p>
        </w:tc>
        <w:tc>
          <w:tcPr>
            <w:tcW w:w="7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cs="Times New Roman"/>
                <w:b/>
                <w:bCs/>
                <w:i w:val="0"/>
                <w:iCs w:val="0"/>
                <w:color w:val="333333"/>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cs="Times New Roman"/>
                <w:i w:val="0"/>
                <w:iCs w:val="0"/>
                <w:color w:val="000000"/>
                <w:sz w:val="18"/>
                <w:szCs w:val="18"/>
                <w:u w:val="none"/>
              </w:rPr>
            </w:pPr>
          </w:p>
        </w:tc>
        <w:tc>
          <w:tcPr>
            <w:tcW w:w="67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cs="Times New Roman"/>
                <w:i w:val="0"/>
                <w:iCs w:val="0"/>
                <w:color w:val="000000"/>
                <w:sz w:val="18"/>
                <w:szCs w:val="18"/>
                <w:u w:val="none"/>
              </w:rPr>
            </w:pPr>
          </w:p>
        </w:tc>
        <w:tc>
          <w:tcPr>
            <w:tcW w:w="6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生态效益</w:t>
            </w:r>
          </w:p>
        </w:tc>
        <w:tc>
          <w:tcPr>
            <w:tcW w:w="6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cs="Times New Roman"/>
                <w:i w:val="0"/>
                <w:iCs w:val="0"/>
                <w:color w:val="333333"/>
                <w:sz w:val="18"/>
                <w:szCs w:val="18"/>
                <w:u w:val="none"/>
              </w:rPr>
            </w:pPr>
          </w:p>
        </w:tc>
        <w:tc>
          <w:tcPr>
            <w:tcW w:w="6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cs="Times New Roman"/>
                <w:i w:val="0"/>
                <w:iCs w:val="0"/>
                <w:color w:val="333333"/>
                <w:sz w:val="18"/>
                <w:szCs w:val="18"/>
                <w:u w:val="none"/>
              </w:rPr>
            </w:pPr>
          </w:p>
        </w:tc>
        <w:tc>
          <w:tcPr>
            <w:tcW w:w="3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无</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iCs w:val="0"/>
                <w:color w:val="333333"/>
                <w:sz w:val="18"/>
                <w:szCs w:val="18"/>
                <w:u w:val="none"/>
              </w:rPr>
            </w:pPr>
            <w:r>
              <w:rPr>
                <w:rFonts w:hint="default" w:ascii="Times New Roman" w:hAnsi="Times New Roman" w:eastAsia="宋体" w:cs="Times New Roman"/>
                <w:i w:val="0"/>
                <w:iCs w:val="0"/>
                <w:color w:val="333333"/>
                <w:kern w:val="0"/>
                <w:sz w:val="18"/>
                <w:szCs w:val="18"/>
                <w:u w:val="none"/>
                <w:lang w:val="en-US" w:eastAsia="zh-CN" w:bidi="ar"/>
              </w:rPr>
              <w:t>0</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iCs w:val="0"/>
                <w:color w:val="333333"/>
                <w:sz w:val="18"/>
                <w:szCs w:val="18"/>
                <w:u w:val="none"/>
              </w:rPr>
            </w:pPr>
            <w:r>
              <w:rPr>
                <w:rFonts w:hint="default" w:ascii="Times New Roman" w:hAnsi="Times New Roman" w:eastAsia="宋体" w:cs="Times New Roman"/>
                <w:i w:val="0"/>
                <w:iCs w:val="0"/>
                <w:color w:val="333333"/>
                <w:kern w:val="0"/>
                <w:sz w:val="18"/>
                <w:szCs w:val="18"/>
                <w:u w:val="none"/>
                <w:lang w:val="en-US" w:eastAsia="zh-CN" w:bidi="ar"/>
              </w:rPr>
              <w:t>0</w:t>
            </w:r>
          </w:p>
        </w:tc>
        <w:tc>
          <w:tcPr>
            <w:tcW w:w="7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cs="Times New Roman"/>
                <w:b/>
                <w:bCs/>
                <w:i w:val="0"/>
                <w:iCs w:val="0"/>
                <w:color w:val="333333"/>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cs="Times New Roman"/>
                <w:i w:val="0"/>
                <w:iCs w:val="0"/>
                <w:color w:val="000000"/>
                <w:sz w:val="18"/>
                <w:szCs w:val="18"/>
                <w:u w:val="none"/>
              </w:rPr>
            </w:pPr>
          </w:p>
        </w:tc>
        <w:tc>
          <w:tcPr>
            <w:tcW w:w="67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cs="Times New Roman"/>
                <w:i w:val="0"/>
                <w:iCs w:val="0"/>
                <w:color w:val="000000"/>
                <w:sz w:val="18"/>
                <w:szCs w:val="18"/>
                <w:u w:val="none"/>
              </w:rPr>
            </w:pPr>
          </w:p>
        </w:tc>
        <w:tc>
          <w:tcPr>
            <w:tcW w:w="6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可持续影响</w:t>
            </w:r>
          </w:p>
        </w:tc>
        <w:tc>
          <w:tcPr>
            <w:tcW w:w="6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cs="Times New Roman"/>
                <w:i w:val="0"/>
                <w:iCs w:val="0"/>
                <w:color w:val="333333"/>
                <w:sz w:val="18"/>
                <w:szCs w:val="18"/>
                <w:u w:val="none"/>
              </w:rPr>
            </w:pPr>
          </w:p>
        </w:tc>
        <w:tc>
          <w:tcPr>
            <w:tcW w:w="6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cs="Times New Roman"/>
                <w:i w:val="0"/>
                <w:iCs w:val="0"/>
                <w:color w:val="333333"/>
                <w:sz w:val="18"/>
                <w:szCs w:val="18"/>
                <w:u w:val="none"/>
              </w:rPr>
            </w:pPr>
          </w:p>
        </w:tc>
        <w:tc>
          <w:tcPr>
            <w:tcW w:w="3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无</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iCs w:val="0"/>
                <w:color w:val="333333"/>
                <w:sz w:val="18"/>
                <w:szCs w:val="18"/>
                <w:u w:val="none"/>
              </w:rPr>
            </w:pPr>
            <w:r>
              <w:rPr>
                <w:rFonts w:hint="default" w:ascii="Times New Roman" w:hAnsi="Times New Roman" w:eastAsia="宋体" w:cs="Times New Roman"/>
                <w:i w:val="0"/>
                <w:iCs w:val="0"/>
                <w:color w:val="333333"/>
                <w:kern w:val="0"/>
                <w:sz w:val="18"/>
                <w:szCs w:val="18"/>
                <w:u w:val="none"/>
                <w:lang w:val="en-US" w:eastAsia="zh-CN" w:bidi="ar"/>
              </w:rPr>
              <w:t>0</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iCs w:val="0"/>
                <w:color w:val="333333"/>
                <w:sz w:val="18"/>
                <w:szCs w:val="18"/>
                <w:u w:val="none"/>
              </w:rPr>
            </w:pPr>
            <w:r>
              <w:rPr>
                <w:rFonts w:hint="default" w:ascii="Times New Roman" w:hAnsi="Times New Roman" w:eastAsia="宋体" w:cs="Times New Roman"/>
                <w:i w:val="0"/>
                <w:iCs w:val="0"/>
                <w:color w:val="333333"/>
                <w:kern w:val="0"/>
                <w:sz w:val="18"/>
                <w:szCs w:val="18"/>
                <w:u w:val="none"/>
                <w:lang w:val="en-US" w:eastAsia="zh-CN" w:bidi="ar"/>
              </w:rPr>
              <w:t>0</w:t>
            </w:r>
          </w:p>
        </w:tc>
        <w:tc>
          <w:tcPr>
            <w:tcW w:w="7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cs="Times New Roman"/>
                <w:b/>
                <w:bCs/>
                <w:i w:val="0"/>
                <w:iCs w:val="0"/>
                <w:color w:val="333333"/>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cs="Times New Roman"/>
                <w:i w:val="0"/>
                <w:iCs w:val="0"/>
                <w:color w:val="000000"/>
                <w:sz w:val="18"/>
                <w:szCs w:val="18"/>
                <w:u w:val="none"/>
              </w:rPr>
            </w:pPr>
          </w:p>
        </w:tc>
        <w:tc>
          <w:tcPr>
            <w:tcW w:w="67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w:t>
            </w:r>
            <w:r>
              <w:rPr>
                <w:rFonts w:hint="default" w:ascii="Times New Roman" w:hAnsi="Times New Roman" w:eastAsia="宋体" w:cs="Times New Roman"/>
                <w:i w:val="0"/>
                <w:iCs w:val="0"/>
                <w:color w:val="000000"/>
                <w:kern w:val="0"/>
                <w:sz w:val="18"/>
                <w:szCs w:val="18"/>
                <w:u w:val="none"/>
                <w:lang w:val="en-US" w:eastAsia="zh-CN" w:bidi="ar"/>
              </w:rPr>
              <w:br w:type="textWrapping"/>
            </w:r>
            <w:r>
              <w:rPr>
                <w:rFonts w:hint="default" w:ascii="Times New Roman" w:hAnsi="Times New Roman" w:eastAsia="宋体" w:cs="Times New Roman"/>
                <w:i w:val="0"/>
                <w:iCs w:val="0"/>
                <w:color w:val="000000"/>
                <w:kern w:val="0"/>
                <w:sz w:val="18"/>
                <w:szCs w:val="18"/>
                <w:u w:val="none"/>
                <w:lang w:val="en-US" w:eastAsia="zh-CN" w:bidi="ar"/>
              </w:rPr>
              <w:t>(10</w:t>
            </w:r>
            <w:r>
              <w:rPr>
                <w:rFonts w:hint="eastAsia" w:ascii="宋体" w:hAnsi="宋体" w:eastAsia="宋体" w:cs="宋体"/>
                <w:i w:val="0"/>
                <w:iCs w:val="0"/>
                <w:color w:val="000000"/>
                <w:kern w:val="0"/>
                <w:sz w:val="18"/>
                <w:szCs w:val="18"/>
                <w:u w:val="none"/>
                <w:lang w:val="en-US" w:eastAsia="zh-CN" w:bidi="ar"/>
              </w:rPr>
              <w:t>分</w:t>
            </w:r>
            <w:r>
              <w:rPr>
                <w:rFonts w:hint="default" w:ascii="Times New Roman" w:hAnsi="Times New Roman" w:eastAsia="宋体" w:cs="Times New Roman"/>
                <w:i w:val="0"/>
                <w:iCs w:val="0"/>
                <w:color w:val="000000"/>
                <w:kern w:val="0"/>
                <w:sz w:val="18"/>
                <w:szCs w:val="18"/>
                <w:u w:val="none"/>
                <w:lang w:val="en-US" w:eastAsia="zh-CN" w:bidi="ar"/>
              </w:rPr>
              <w:t>)</w:t>
            </w:r>
          </w:p>
        </w:tc>
        <w:tc>
          <w:tcPr>
            <w:tcW w:w="6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服务对象满意度</w:t>
            </w:r>
          </w:p>
        </w:tc>
        <w:tc>
          <w:tcPr>
            <w:tcW w:w="6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教职工培训满意度</w:t>
            </w:r>
          </w:p>
        </w:tc>
        <w:tc>
          <w:tcPr>
            <w:tcW w:w="6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iCs w:val="0"/>
                <w:color w:val="333333"/>
                <w:sz w:val="18"/>
                <w:szCs w:val="18"/>
                <w:u w:val="none"/>
              </w:rPr>
            </w:pPr>
            <w:r>
              <w:rPr>
                <w:rFonts w:hint="default" w:ascii="Times New Roman" w:hAnsi="Times New Roman" w:eastAsia="宋体" w:cs="Times New Roman"/>
                <w:i w:val="0"/>
                <w:iCs w:val="0"/>
                <w:color w:val="333333"/>
                <w:kern w:val="0"/>
                <w:sz w:val="18"/>
                <w:szCs w:val="18"/>
                <w:u w:val="none"/>
                <w:lang w:val="en-US" w:eastAsia="zh-CN" w:bidi="ar"/>
              </w:rPr>
              <w:t>≥90%</w:t>
            </w:r>
          </w:p>
        </w:tc>
        <w:tc>
          <w:tcPr>
            <w:tcW w:w="3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iCs w:val="0"/>
                <w:color w:val="333333"/>
                <w:sz w:val="18"/>
                <w:szCs w:val="18"/>
                <w:u w:val="none"/>
              </w:rPr>
            </w:pPr>
            <w:r>
              <w:rPr>
                <w:rFonts w:hint="default" w:ascii="Times New Roman" w:hAnsi="Times New Roman" w:eastAsia="宋体" w:cs="Times New Roman"/>
                <w:i w:val="0"/>
                <w:iCs w:val="0"/>
                <w:color w:val="333333"/>
                <w:kern w:val="0"/>
                <w:sz w:val="18"/>
                <w:szCs w:val="18"/>
                <w:u w:val="none"/>
                <w:lang w:val="en-US" w:eastAsia="zh-CN" w:bidi="ar"/>
              </w:rPr>
              <w:t>95%</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iCs w:val="0"/>
                <w:color w:val="333333"/>
                <w:sz w:val="18"/>
                <w:szCs w:val="18"/>
                <w:u w:val="none"/>
              </w:rPr>
            </w:pPr>
            <w:r>
              <w:rPr>
                <w:rFonts w:hint="default" w:ascii="Times New Roman" w:hAnsi="Times New Roman" w:eastAsia="宋体" w:cs="Times New Roman"/>
                <w:i w:val="0"/>
                <w:iCs w:val="0"/>
                <w:color w:val="333333"/>
                <w:kern w:val="0"/>
                <w:sz w:val="18"/>
                <w:szCs w:val="18"/>
                <w:u w:val="none"/>
                <w:lang w:val="en-US" w:eastAsia="zh-CN" w:bidi="ar"/>
              </w:rPr>
              <w:t>10</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iCs w:val="0"/>
                <w:color w:val="333333"/>
                <w:sz w:val="18"/>
                <w:szCs w:val="18"/>
                <w:u w:val="none"/>
              </w:rPr>
            </w:pPr>
            <w:r>
              <w:rPr>
                <w:rFonts w:hint="default" w:ascii="Times New Roman" w:hAnsi="Times New Roman" w:eastAsia="宋体" w:cs="Times New Roman"/>
                <w:i w:val="0"/>
                <w:iCs w:val="0"/>
                <w:color w:val="333333"/>
                <w:kern w:val="0"/>
                <w:sz w:val="18"/>
                <w:szCs w:val="18"/>
                <w:u w:val="none"/>
                <w:lang w:val="en-US" w:eastAsia="zh-CN" w:bidi="ar"/>
              </w:rPr>
              <w:t>10</w:t>
            </w:r>
          </w:p>
        </w:tc>
        <w:tc>
          <w:tcPr>
            <w:tcW w:w="7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cs="Times New Roman"/>
                <w:b/>
                <w:bCs/>
                <w:i w:val="0"/>
                <w:iCs w:val="0"/>
                <w:color w:val="333333"/>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cs="Times New Roman"/>
                <w:i w:val="0"/>
                <w:iCs w:val="0"/>
                <w:color w:val="000000"/>
                <w:sz w:val="18"/>
                <w:szCs w:val="18"/>
                <w:u w:val="none"/>
              </w:rPr>
            </w:pPr>
          </w:p>
        </w:tc>
        <w:tc>
          <w:tcPr>
            <w:tcW w:w="67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cs="Times New Roman"/>
                <w:i w:val="0"/>
                <w:iCs w:val="0"/>
                <w:color w:val="000000"/>
                <w:sz w:val="18"/>
                <w:szCs w:val="18"/>
                <w:u w:val="none"/>
              </w:rPr>
            </w:pPr>
          </w:p>
        </w:tc>
        <w:tc>
          <w:tcPr>
            <w:tcW w:w="6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其他满意度</w:t>
            </w:r>
          </w:p>
        </w:tc>
        <w:tc>
          <w:tcPr>
            <w:tcW w:w="6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cs="Times New Roman"/>
                <w:i w:val="0"/>
                <w:iCs w:val="0"/>
                <w:color w:val="333333"/>
                <w:sz w:val="18"/>
                <w:szCs w:val="18"/>
                <w:u w:val="none"/>
              </w:rPr>
            </w:pPr>
          </w:p>
        </w:tc>
        <w:tc>
          <w:tcPr>
            <w:tcW w:w="6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cs="Times New Roman"/>
                <w:i w:val="0"/>
                <w:iCs w:val="0"/>
                <w:color w:val="333333"/>
                <w:sz w:val="18"/>
                <w:szCs w:val="18"/>
                <w:u w:val="none"/>
              </w:rPr>
            </w:pPr>
          </w:p>
        </w:tc>
        <w:tc>
          <w:tcPr>
            <w:tcW w:w="3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无</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iCs w:val="0"/>
                <w:color w:val="333333"/>
                <w:sz w:val="18"/>
                <w:szCs w:val="18"/>
                <w:u w:val="none"/>
              </w:rPr>
            </w:pPr>
            <w:r>
              <w:rPr>
                <w:rFonts w:hint="default" w:ascii="Times New Roman" w:hAnsi="Times New Roman" w:eastAsia="宋体" w:cs="Times New Roman"/>
                <w:i w:val="0"/>
                <w:iCs w:val="0"/>
                <w:color w:val="333333"/>
                <w:kern w:val="0"/>
                <w:sz w:val="18"/>
                <w:szCs w:val="18"/>
                <w:u w:val="none"/>
                <w:lang w:val="en-US" w:eastAsia="zh-CN" w:bidi="ar"/>
              </w:rPr>
              <w:t>0</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iCs w:val="0"/>
                <w:color w:val="333333"/>
                <w:sz w:val="18"/>
                <w:szCs w:val="18"/>
                <w:u w:val="none"/>
              </w:rPr>
            </w:pPr>
            <w:r>
              <w:rPr>
                <w:rFonts w:hint="default" w:ascii="Times New Roman" w:hAnsi="Times New Roman" w:eastAsia="宋体" w:cs="Times New Roman"/>
                <w:i w:val="0"/>
                <w:iCs w:val="0"/>
                <w:color w:val="333333"/>
                <w:kern w:val="0"/>
                <w:sz w:val="18"/>
                <w:szCs w:val="18"/>
                <w:u w:val="none"/>
                <w:lang w:val="en-US" w:eastAsia="zh-CN" w:bidi="ar"/>
              </w:rPr>
              <w:t>0</w:t>
            </w:r>
          </w:p>
        </w:tc>
        <w:tc>
          <w:tcPr>
            <w:tcW w:w="7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cs="Times New Roman"/>
                <w:b/>
                <w:bCs/>
                <w:i w:val="0"/>
                <w:iCs w:val="0"/>
                <w:color w:val="333333"/>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96" w:type="pct"/>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default" w:ascii="Times New Roman" w:hAnsi="Times New Roman" w:cs="Times New Roman"/>
                <w:i w:val="0"/>
                <w:iCs w:val="0"/>
                <w:color w:val="000000"/>
                <w:sz w:val="18"/>
                <w:szCs w:val="18"/>
                <w:u w:val="none"/>
              </w:rPr>
            </w:pPr>
          </w:p>
        </w:tc>
        <w:tc>
          <w:tcPr>
            <w:tcW w:w="307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总分</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100</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97.14</w:t>
            </w:r>
          </w:p>
        </w:tc>
        <w:tc>
          <w:tcPr>
            <w:tcW w:w="717" w:type="pct"/>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center"/>
              <w:textAlignment w:val="bottom"/>
              <w:rPr>
                <w:rFonts w:hint="default" w:ascii="Times New Roman" w:hAnsi="Times New Roman"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r>
    </w:tbl>
    <w:p>
      <w:pPr>
        <w:pStyle w:val="2"/>
        <w:jc w:val="center"/>
        <w:rPr>
          <w:rFonts w:hint="default"/>
        </w:rPr>
      </w:pPr>
    </w:p>
    <w:sectPr>
      <w:footerReference r:id="rId7" w:type="default"/>
      <w:footerReference r:id="rId8" w:type="even"/>
      <w:pgSz w:w="11906" w:h="16838"/>
      <w:pgMar w:top="1440" w:right="1797" w:bottom="1440" w:left="1797"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tabs>
        <w:tab w:val="left" w:pos="243"/>
      </w:tabs>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ascii="宋体" w:hAnsi="宋体"/>
        <w:sz w:val="28"/>
        <w:szCs w:val="28"/>
      </w:rPr>
    </w:pPr>
  </w:p>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201077892"/>
                            <w:docPartObj>
                              <w:docPartGallery w:val="autotext"/>
                            </w:docPartObj>
                          </w:sdtPr>
                          <w:sdtContent>
                            <w:p>
                              <w:pPr>
                                <w:pStyle w:val="5"/>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2</w:t>
                              </w:r>
                              <w:r>
                                <w:rPr>
                                  <w:rFonts w:ascii="宋体" w:hAnsi="宋体"/>
                                  <w:sz w:val="28"/>
                                  <w:szCs w:val="28"/>
                                </w:rPr>
                                <w:fldChar w:fldCharType="end"/>
                              </w:r>
                            </w:p>
                          </w:sdtContent>
                        </w:sdt>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sdt>
                    <w:sdtPr>
                      <w:id w:val="-1201077892"/>
                      <w:docPartObj>
                        <w:docPartGallery w:val="autotext"/>
                      </w:docPartObj>
                    </w:sdtPr>
                    <w:sdtContent>
                      <w:p>
                        <w:pPr>
                          <w:pStyle w:val="5"/>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2</w:t>
                        </w:r>
                        <w:r>
                          <w:rPr>
                            <w:rFonts w:ascii="宋体" w:hAnsi="宋体"/>
                            <w:sz w:val="28"/>
                            <w:szCs w:val="28"/>
                          </w:rPr>
                          <w:fldChar w:fldCharType="end"/>
                        </w:r>
                      </w:p>
                    </w:sdtContent>
                  </w:sdt>
                  <w:p/>
                </w:txbxContent>
              </v:textbox>
            </v:shape>
          </w:pict>
        </mc:Fallback>
      </mc:AlternateContent>
    </w:r>
  </w:p>
  <w:p>
    <w:pPr>
      <w:pStyle w:val="5"/>
      <w:tabs>
        <w:tab w:val="left" w:pos="243"/>
      </w:tabs>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ascii="宋体" w:hAnsi="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882823012"/>
                            <w:docPartObj>
                              <w:docPartGallery w:val="autotext"/>
                            </w:docPartObj>
                          </w:sdtPr>
                          <w:sdtEndPr>
                            <w:rPr>
                              <w:rFonts w:ascii="宋体" w:hAnsi="宋体"/>
                              <w:sz w:val="28"/>
                              <w:szCs w:val="28"/>
                            </w:rPr>
                          </w:sdtEndPr>
                          <w:sdtContent>
                            <w:p>
                              <w:pPr>
                                <w:pStyle w:val="5"/>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2</w:t>
                              </w:r>
                              <w:r>
                                <w:rPr>
                                  <w:rFonts w:ascii="宋体" w:hAnsi="宋体"/>
                                  <w:sz w:val="28"/>
                                  <w:szCs w:val="28"/>
                                </w:rPr>
                                <w:fldChar w:fldCharType="end"/>
                              </w:r>
                            </w:p>
                          </w:sdtContent>
                        </w:sdt>
                        <w:p>
                          <w:pPr>
                            <w:rPr>
                              <w:rFonts w:ascii="宋体" w:hAnsi="宋体"/>
                              <w:sz w:val="28"/>
                              <w:szCs w:val="28"/>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sdt>
                    <w:sdtPr>
                      <w:id w:val="882823012"/>
                      <w:docPartObj>
                        <w:docPartGallery w:val="autotext"/>
                      </w:docPartObj>
                    </w:sdtPr>
                    <w:sdtEndPr>
                      <w:rPr>
                        <w:rFonts w:ascii="宋体" w:hAnsi="宋体"/>
                        <w:sz w:val="28"/>
                        <w:szCs w:val="28"/>
                      </w:rPr>
                    </w:sdtEndPr>
                    <w:sdtContent>
                      <w:p>
                        <w:pPr>
                          <w:pStyle w:val="5"/>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2</w:t>
                        </w:r>
                        <w:r>
                          <w:rPr>
                            <w:rFonts w:ascii="宋体" w:hAnsi="宋体"/>
                            <w:sz w:val="28"/>
                            <w:szCs w:val="28"/>
                          </w:rPr>
                          <w:fldChar w:fldCharType="end"/>
                        </w:r>
                      </w:p>
                    </w:sdtContent>
                  </w:sdt>
                  <w:p>
                    <w:pPr>
                      <w:rPr>
                        <w:rFonts w:ascii="宋体" w:hAnsi="宋体"/>
                        <w:sz w:val="28"/>
                        <w:szCs w:val="28"/>
                      </w:rPr>
                    </w:pPr>
                  </w:p>
                </w:txbxContent>
              </v:textbox>
            </v:shape>
          </w:pict>
        </mc:Fallback>
      </mc:AlternateContent>
    </w:r>
  </w:p>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isplayHorizontalDrawingGridEvery w:val="0"/>
  <w:displayVerticalDrawingGridEvery w:val="2"/>
  <w:characterSpacingControl w:val="compressPunctuation"/>
  <w:compat>
    <w:balanceSingleByteDoubleByteWidth/>
    <w:ulTrailSpace/>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EwMmNjNGZiOGNiODE0MmQ3YzY4YTgwMGRhMzU1OWMifQ=="/>
  </w:docVars>
  <w:rsids>
    <w:rsidRoot w:val="00320517"/>
    <w:rsid w:val="000051D1"/>
    <w:rsid w:val="00037553"/>
    <w:rsid w:val="00051417"/>
    <w:rsid w:val="0005668F"/>
    <w:rsid w:val="00094F06"/>
    <w:rsid w:val="000C1F69"/>
    <w:rsid w:val="000C6CB9"/>
    <w:rsid w:val="000D1FBD"/>
    <w:rsid w:val="000D46B3"/>
    <w:rsid w:val="001562E8"/>
    <w:rsid w:val="001A1510"/>
    <w:rsid w:val="001E264D"/>
    <w:rsid w:val="003070EA"/>
    <w:rsid w:val="00320517"/>
    <w:rsid w:val="003D0CC2"/>
    <w:rsid w:val="003F0DF5"/>
    <w:rsid w:val="003F75FB"/>
    <w:rsid w:val="00431864"/>
    <w:rsid w:val="004909A8"/>
    <w:rsid w:val="00562B96"/>
    <w:rsid w:val="00565D8A"/>
    <w:rsid w:val="005F1C0D"/>
    <w:rsid w:val="00616393"/>
    <w:rsid w:val="006C2E1D"/>
    <w:rsid w:val="006E398D"/>
    <w:rsid w:val="00702DB9"/>
    <w:rsid w:val="007A7D27"/>
    <w:rsid w:val="007B1316"/>
    <w:rsid w:val="007E0AD5"/>
    <w:rsid w:val="00815623"/>
    <w:rsid w:val="008424B2"/>
    <w:rsid w:val="00851C33"/>
    <w:rsid w:val="008A362D"/>
    <w:rsid w:val="008D0426"/>
    <w:rsid w:val="008F2BBD"/>
    <w:rsid w:val="00902FF9"/>
    <w:rsid w:val="00905A01"/>
    <w:rsid w:val="00915F7D"/>
    <w:rsid w:val="00940DA7"/>
    <w:rsid w:val="009F39B4"/>
    <w:rsid w:val="00AA3BC0"/>
    <w:rsid w:val="00AB42E3"/>
    <w:rsid w:val="00B2528D"/>
    <w:rsid w:val="00B261D9"/>
    <w:rsid w:val="00B264AB"/>
    <w:rsid w:val="00B9779C"/>
    <w:rsid w:val="00BA158D"/>
    <w:rsid w:val="00C00E9C"/>
    <w:rsid w:val="00C61E75"/>
    <w:rsid w:val="00CB6515"/>
    <w:rsid w:val="00E564B5"/>
    <w:rsid w:val="00E805A6"/>
    <w:rsid w:val="00EB048F"/>
    <w:rsid w:val="00EC2784"/>
    <w:rsid w:val="00F2551F"/>
    <w:rsid w:val="00F347B2"/>
    <w:rsid w:val="00F51FA4"/>
    <w:rsid w:val="00F638D5"/>
    <w:rsid w:val="00FC5429"/>
    <w:rsid w:val="00FC5544"/>
    <w:rsid w:val="00FE274F"/>
    <w:rsid w:val="29C96E26"/>
    <w:rsid w:val="34092A60"/>
    <w:rsid w:val="5CD61202"/>
    <w:rsid w:val="62C85C63"/>
    <w:rsid w:val="67117917"/>
  </w:rsids>
  <m:mathPr>
    <m:mathFont m:val="Cambria Math"/>
    <m:brkBin m:val="before"/>
    <m:brkBinSub m:val="--"/>
    <m:smallFrac m:val="1"/>
    <m:dispDef/>
    <m:lMargin m:val="1440"/>
    <m:rMargin m:val="144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7"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jc w:val="both"/>
    </w:pPr>
    <w:rPr>
      <w:rFonts w:ascii="Times New Roman" w:hAnsi="Times New Roman" w:eastAsia="宋体" w:cs="Times New Roman"/>
      <w:sz w:val="21"/>
      <w:szCs w:val="21"/>
      <w:lang w:val="en-US" w:eastAsia="zh-CN" w:bidi="ar-SA"/>
    </w:rPr>
  </w:style>
  <w:style w:type="paragraph" w:styleId="2">
    <w:name w:val="heading 1"/>
    <w:basedOn w:val="1"/>
    <w:next w:val="1"/>
    <w:qFormat/>
    <w:uiPriority w:val="7"/>
    <w:pPr>
      <w:spacing w:before="100" w:beforeAutospacing="1" w:after="100" w:afterAutospacing="1"/>
      <w:jc w:val="left"/>
      <w:outlineLvl w:val="0"/>
    </w:pPr>
    <w:rPr>
      <w:rFonts w:hint="eastAsia" w:ascii="宋体" w:hAnsi="宋体"/>
      <w:b/>
      <w:sz w:val="48"/>
      <w:szCs w:val="48"/>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12"/>
    <w:unhideWhenUsed/>
    <w:qFormat/>
    <w:uiPriority w:val="99"/>
    <w:pPr>
      <w:widowControl w:val="0"/>
      <w:autoSpaceDE w:val="0"/>
      <w:autoSpaceDN w:val="0"/>
      <w:spacing w:before="149"/>
      <w:ind w:left="240"/>
      <w:jc w:val="left"/>
    </w:pPr>
    <w:rPr>
      <w:rFonts w:ascii="仿宋_GB2312" w:hAnsi="宋体" w:eastAsia="仿宋_GB2312" w:cs="宋体"/>
      <w:sz w:val="32"/>
      <w:szCs w:val="32"/>
    </w:rPr>
  </w:style>
  <w:style w:type="paragraph" w:styleId="4">
    <w:name w:val="Balloon Text"/>
    <w:basedOn w:val="1"/>
    <w:link w:val="11"/>
    <w:qFormat/>
    <w:uiPriority w:val="0"/>
    <w:rPr>
      <w:sz w:val="18"/>
      <w:szCs w:val="18"/>
    </w:rPr>
  </w:style>
  <w:style w:type="paragraph" w:styleId="5">
    <w:name w:val="footer"/>
    <w:basedOn w:val="1"/>
    <w:link w:val="15"/>
    <w:unhideWhenUsed/>
    <w:qFormat/>
    <w:uiPriority w:val="99"/>
    <w:pPr>
      <w:tabs>
        <w:tab w:val="center" w:pos="4153"/>
        <w:tab w:val="right" w:pos="8306"/>
      </w:tabs>
      <w:snapToGrid w:val="0"/>
      <w:jc w:val="left"/>
    </w:pPr>
    <w:rPr>
      <w:sz w:val="18"/>
      <w:szCs w:val="18"/>
    </w:rPr>
  </w:style>
  <w:style w:type="paragraph" w:styleId="6">
    <w:name w:val="header"/>
    <w:basedOn w:val="1"/>
    <w:link w:val="10"/>
    <w:qFormat/>
    <w:uiPriority w:val="0"/>
    <w:pPr>
      <w:pBdr>
        <w:bottom w:val="single" w:color="000000" w:sz="6" w:space="1"/>
      </w:pBdr>
      <w:tabs>
        <w:tab w:val="center" w:pos="4153"/>
        <w:tab w:val="right" w:pos="8306"/>
      </w:tabs>
      <w:snapToGrid w:val="0"/>
      <w:jc w:val="center"/>
    </w:pPr>
    <w:rPr>
      <w:sz w:val="18"/>
      <w:szCs w:val="18"/>
    </w:rPr>
  </w:style>
  <w:style w:type="paragraph" w:styleId="7">
    <w:name w:val="Normal (Web)"/>
    <w:basedOn w:val="1"/>
    <w:unhideWhenUsed/>
    <w:qFormat/>
    <w:uiPriority w:val="0"/>
    <w:pPr>
      <w:spacing w:before="100" w:beforeAutospacing="1" w:after="100" w:afterAutospacing="1"/>
      <w:jc w:val="left"/>
    </w:pPr>
    <w:rPr>
      <w:rFonts w:ascii="宋体" w:hAnsi="宋体" w:cs="宋体"/>
      <w:sz w:val="24"/>
      <w:szCs w:val="24"/>
    </w:rPr>
  </w:style>
  <w:style w:type="character" w:customStyle="1" w:styleId="10">
    <w:name w:val="页眉 字符"/>
    <w:basedOn w:val="9"/>
    <w:link w:val="6"/>
    <w:qFormat/>
    <w:uiPriority w:val="0"/>
    <w:rPr>
      <w:sz w:val="18"/>
      <w:szCs w:val="18"/>
    </w:rPr>
  </w:style>
  <w:style w:type="character" w:customStyle="1" w:styleId="11">
    <w:name w:val="批注框文本 字符"/>
    <w:basedOn w:val="9"/>
    <w:link w:val="4"/>
    <w:qFormat/>
    <w:uiPriority w:val="0"/>
    <w:rPr>
      <w:sz w:val="18"/>
      <w:szCs w:val="18"/>
    </w:rPr>
  </w:style>
  <w:style w:type="character" w:customStyle="1" w:styleId="12">
    <w:name w:val="正文文本 字符"/>
    <w:basedOn w:val="9"/>
    <w:link w:val="3"/>
    <w:qFormat/>
    <w:uiPriority w:val="99"/>
    <w:rPr>
      <w:rFonts w:ascii="仿宋_GB2312" w:hAnsi="宋体" w:eastAsia="仿宋_GB2312" w:cs="宋体"/>
      <w:sz w:val="32"/>
      <w:szCs w:val="32"/>
    </w:rPr>
  </w:style>
  <w:style w:type="character" w:customStyle="1" w:styleId="13">
    <w:name w:val="font01"/>
    <w:basedOn w:val="9"/>
    <w:qFormat/>
    <w:uiPriority w:val="0"/>
    <w:rPr>
      <w:rFonts w:hint="default" w:ascii="Times New Roman" w:hAnsi="Times New Roman" w:cs="Times New Roman"/>
      <w:color w:val="000000"/>
      <w:sz w:val="18"/>
      <w:szCs w:val="18"/>
      <w:u w:val="none"/>
    </w:rPr>
  </w:style>
  <w:style w:type="character" w:customStyle="1" w:styleId="14">
    <w:name w:val="font21"/>
    <w:basedOn w:val="9"/>
    <w:qFormat/>
    <w:uiPriority w:val="0"/>
    <w:rPr>
      <w:rFonts w:hint="default" w:ascii="Times New Roman" w:hAnsi="Times New Roman" w:cs="Times New Roman"/>
      <w:color w:val="000000"/>
      <w:sz w:val="22"/>
      <w:szCs w:val="22"/>
      <w:u w:val="none"/>
    </w:rPr>
  </w:style>
  <w:style w:type="character" w:customStyle="1" w:styleId="15">
    <w:name w:val="页脚 字符"/>
    <w:basedOn w:val="9"/>
    <w:link w:val="5"/>
    <w:qFormat/>
    <w:uiPriority w:val="99"/>
    <w:rPr>
      <w:sz w:val="18"/>
      <w:szCs w:val="18"/>
    </w:rPr>
  </w:style>
  <w:style w:type="character" w:customStyle="1" w:styleId="16">
    <w:name w:val="font131"/>
    <w:basedOn w:val="9"/>
    <w:qFormat/>
    <w:uiPriority w:val="0"/>
    <w:rPr>
      <w:rFonts w:hint="eastAsia" w:ascii="宋体" w:hAnsi="宋体" w:eastAsia="宋体"/>
      <w:b/>
      <w:bCs/>
      <w:color w:val="000000"/>
      <w:sz w:val="40"/>
      <w:szCs w:val="40"/>
      <w:u w:val="none"/>
    </w:rPr>
  </w:style>
  <w:style w:type="character" w:customStyle="1" w:styleId="17">
    <w:name w:val="font51"/>
    <w:basedOn w:val="9"/>
    <w:qFormat/>
    <w:uiPriority w:val="0"/>
    <w:rPr>
      <w:rFonts w:hint="eastAsia" w:ascii="宋体" w:hAnsi="宋体" w:eastAsia="宋体"/>
      <w:color w:val="000000"/>
      <w:sz w:val="20"/>
      <w:szCs w:val="20"/>
      <w:u w:val="none"/>
    </w:rPr>
  </w:style>
  <w:style w:type="character" w:customStyle="1" w:styleId="18">
    <w:name w:val="font71"/>
    <w:basedOn w:val="9"/>
    <w:qFormat/>
    <w:uiPriority w:val="0"/>
    <w:rPr>
      <w:rFonts w:hint="default" w:ascii="Times New Roman" w:hAnsi="Times New Roman" w:cs="Times New Roman"/>
      <w:color w:val="000000"/>
      <w:sz w:val="20"/>
      <w:szCs w:val="20"/>
      <w:u w:val="none"/>
    </w:rPr>
  </w:style>
  <w:style w:type="character" w:customStyle="1" w:styleId="19">
    <w:name w:val="font141"/>
    <w:basedOn w:val="9"/>
    <w:qFormat/>
    <w:uiPriority w:val="0"/>
    <w:rPr>
      <w:rFonts w:hint="eastAsia" w:ascii="宋体" w:hAnsi="宋体" w:eastAsia="宋体"/>
      <w:b/>
      <w:bCs/>
      <w:color w:val="000000"/>
      <w:sz w:val="22"/>
      <w:szCs w:val="22"/>
      <w:u w:val="none"/>
    </w:rPr>
  </w:style>
  <w:style w:type="character" w:customStyle="1" w:styleId="20">
    <w:name w:val="font81"/>
    <w:basedOn w:val="9"/>
    <w:qFormat/>
    <w:uiPriority w:val="0"/>
    <w:rPr>
      <w:rFonts w:hint="eastAsia" w:ascii="宋体" w:hAnsi="宋体" w:eastAsia="宋体"/>
      <w:color w:val="333333"/>
      <w:sz w:val="20"/>
      <w:szCs w:val="20"/>
      <w:u w:val="none"/>
    </w:rPr>
  </w:style>
  <w:style w:type="character" w:customStyle="1" w:styleId="21">
    <w:name w:val="font101"/>
    <w:basedOn w:val="9"/>
    <w:qFormat/>
    <w:uiPriority w:val="0"/>
    <w:rPr>
      <w:rFonts w:hint="default" w:ascii="Times New Roman" w:hAnsi="Times New Roman" w:cs="Times New Roman"/>
      <w:color w:val="333333"/>
      <w:sz w:val="20"/>
      <w:szCs w:val="20"/>
      <w:u w:val="none"/>
    </w:rPr>
  </w:style>
  <w:style w:type="character" w:customStyle="1" w:styleId="22">
    <w:name w:val="font151"/>
    <w:basedOn w:val="9"/>
    <w:qFormat/>
    <w:uiPriority w:val="0"/>
    <w:rPr>
      <w:rFonts w:hint="eastAsia" w:ascii="宋体" w:hAnsi="宋体" w:eastAsia="宋体"/>
      <w:color w:val="000000"/>
      <w:sz w:val="20"/>
      <w:szCs w:val="20"/>
      <w:u w:val="none"/>
    </w:rPr>
  </w:style>
  <w:style w:type="character" w:customStyle="1" w:styleId="23">
    <w:name w:val="font161"/>
    <w:basedOn w:val="9"/>
    <w:qFormat/>
    <w:uiPriority w:val="0"/>
    <w:rPr>
      <w:rFonts w:hint="eastAsia" w:ascii="宋体" w:hAnsi="宋体" w:eastAsia="宋体"/>
      <w:b/>
      <w:bCs/>
      <w:color w:val="333333"/>
      <w:sz w:val="20"/>
      <w:szCs w:val="20"/>
      <w:u w:val="none"/>
    </w:rPr>
  </w:style>
  <w:style w:type="character" w:customStyle="1" w:styleId="24">
    <w:name w:val="font111"/>
    <w:basedOn w:val="9"/>
    <w:qFormat/>
    <w:uiPriority w:val="0"/>
    <w:rPr>
      <w:rFonts w:hint="default" w:ascii="Times New Roman" w:hAnsi="Times New Roman" w:cs="Times New Roman"/>
      <w:b/>
      <w:bCs/>
      <w:color w:val="D9001B"/>
      <w:sz w:val="20"/>
      <w:szCs w:val="20"/>
      <w:u w:val="none"/>
    </w:rPr>
  </w:style>
  <w:style w:type="character" w:customStyle="1" w:styleId="25">
    <w:name w:val="font171"/>
    <w:basedOn w:val="9"/>
    <w:qFormat/>
    <w:uiPriority w:val="0"/>
    <w:rPr>
      <w:rFonts w:hint="eastAsia" w:ascii="宋体" w:hAnsi="宋体" w:eastAsia="宋体"/>
      <w:b/>
      <w:bCs/>
      <w:color w:val="000000"/>
      <w:sz w:val="20"/>
      <w:szCs w:val="20"/>
      <w:u w:val="none"/>
    </w:rPr>
  </w:style>
  <w:style w:type="character" w:customStyle="1" w:styleId="26">
    <w:name w:val="font31"/>
    <w:basedOn w:val="9"/>
    <w:qFormat/>
    <w:uiPriority w:val="0"/>
    <w:rPr>
      <w:rFonts w:hint="default" w:ascii="Times New Roman" w:hAnsi="Times New Roman" w:cs="Times New Roman"/>
      <w:color w:val="000000"/>
      <w:sz w:val="20"/>
      <w:szCs w:val="20"/>
      <w:u w:val="none"/>
    </w:rPr>
  </w:style>
  <w:style w:type="character" w:customStyle="1" w:styleId="27">
    <w:name w:val="font181"/>
    <w:basedOn w:val="9"/>
    <w:qFormat/>
    <w:uiPriority w:val="0"/>
    <w:rPr>
      <w:rFonts w:hint="eastAsia" w:ascii="宋体" w:hAnsi="宋体" w:eastAsia="宋体"/>
      <w:color w:val="555555"/>
      <w:sz w:val="20"/>
      <w:szCs w:val="20"/>
      <w:u w:val="none"/>
    </w:rPr>
  </w:style>
  <w:style w:type="character" w:customStyle="1" w:styleId="28">
    <w:name w:val="font121"/>
    <w:basedOn w:val="9"/>
    <w:qFormat/>
    <w:uiPriority w:val="0"/>
    <w:rPr>
      <w:rFonts w:hint="default" w:ascii="Times New Roman" w:hAnsi="Times New Roman" w:cs="Times New Roman"/>
      <w:color w:val="D9001B"/>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中华人民共和国国务院</Company>
  <Pages>11</Pages>
  <Words>4049</Words>
  <Characters>4502</Characters>
  <Lines>28</Lines>
  <Paragraphs>7</Paragraphs>
  <TotalTime>2</TotalTime>
  <ScaleCrop>false</ScaleCrop>
  <LinksUpToDate>false</LinksUpToDate>
  <CharactersWithSpaces>4544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2022-06-27T07:53:00Z</dcterms:created>
  <dc:creator>陈卓仪</dc:creator>
  <cp:lastModifiedBy>叶晶</cp:lastModifiedBy>
  <cp:lastPrinted>2023-05-30T05:41:00Z</cp:lastPrinted>
  <dcterms:modified xsi:type="dcterms:W3CDTF">2023-09-22T02:44:33Z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C08828263E934837B64E1C054928025B_13</vt:lpwstr>
  </property>
</Properties>
</file>