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B0" w:rsidRPr="008F3192" w:rsidRDefault="008F3192">
      <w:pPr>
        <w:rPr>
          <w:b/>
        </w:rPr>
      </w:pPr>
      <w:r w:rsidRPr="008F3192">
        <w:rPr>
          <w:b/>
        </w:rPr>
        <w:t>货物清单</w:t>
      </w:r>
      <w:r>
        <w:rPr>
          <w:b/>
        </w:rPr>
        <w:t>：</w:t>
      </w:r>
    </w:p>
    <w:tbl>
      <w:tblPr>
        <w:tblW w:w="9243" w:type="dxa"/>
        <w:tblInd w:w="113" w:type="dxa"/>
        <w:tblLook w:val="0000" w:firstRow="0" w:lastRow="0" w:firstColumn="0" w:lastColumn="0" w:noHBand="0" w:noVBand="0"/>
      </w:tblPr>
      <w:tblGrid>
        <w:gridCol w:w="704"/>
        <w:gridCol w:w="1559"/>
        <w:gridCol w:w="3969"/>
        <w:gridCol w:w="709"/>
        <w:gridCol w:w="709"/>
        <w:gridCol w:w="709"/>
        <w:gridCol w:w="884"/>
      </w:tblGrid>
      <w:tr w:rsidR="008F3192" w:rsidRPr="002A7372" w:rsidTr="00375E74"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8F3192" w:rsidRPr="002A7372" w:rsidTr="00375E74">
        <w:trPr>
          <w:trHeight w:val="10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CAN总线型气动模块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品牌:天元同创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型号:TYTC-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CANPressModule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1、气压采集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器范围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少于30K帕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2、CAN总线数据接口，支持OPENCAN协议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3、12V供电，支持12V供电工作的阀门和开关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4、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板载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I2C数字型气压传感器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5、CAN模块支持通过OPENCAN协议指令方式进行功能操作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DP-DP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10245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转换器：Mini DP转DP 类别：视频线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65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DP-HDMI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品牌： 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DP转HDMI转接头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4K高清DisplayPort转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转换器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台式机电脑显卡接电视转接线 DP转HDMI转换器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DP转VGA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20415 DP转VGA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HDMI-HDMI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绿联（UGREEN） HDMI线1.5米</w:t>
            </w:r>
            <w:commentRangeStart w:id="0"/>
            <w:commentRange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HDMI转VGA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品牌： 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CM270 HDMI转VGA 接口：HDMI/VGA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Type-C转HDMI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Type-C转HDMI线雷电3/4转换器USB-C转接头扩展拓展高清4K60/2K144Hz投屏适用C口笔记本电脑手机iPad平板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87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can总线型协议控制器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品牌:天元同创 型号:TYTC-CANCTL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1、4路工作指示灯，指示灯软件可以二次设置工作状态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2、12V供电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3、CAN总线数据接口，支持OPENCAN协议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4、支持TYPE-C接口升级协议控制器软件 5、支持WIFI2.4G接入手机APP热点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USB外置声卡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绿联，型号：CM477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miniDP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转DP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品牌：山泽DPG-03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光模块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品牌：山泽，型号：XSZ-MMWS，接口：多模双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纤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光纤模块850nm，速率：10Gbps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光转电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模块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山泽，型号：SZ-WGE，接口：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光口转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RJ45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电口模块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，速率10Gbps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剪刀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品牌：得力6055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电动螺丝刀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世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，商品名称：博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世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BOSCHGO 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塑料周转箱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品牌：米奇特工 外尺寸615*420*150</w:t>
            </w:r>
            <w:r w:rsidRPr="002A7372">
              <w:rPr>
                <w:rStyle w:val="a3"/>
                <w:rFonts w:hint="eastAsia"/>
              </w:rPr>
              <w:t>mm</w:t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蓝色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小推车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品牌：村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田稻夫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GYP-WQ 手推平板车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拖把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品牌：佳帮手缝隙彩虹刮刮乐 刮刮乐拖把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排插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京选，型号：XD-K3010，全长：5米，插孔数量：10孔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排插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公牛，型号：GN-B5063，插孔数量：6孔 ，插孔电流：10A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品牌：海康威视，接口：USB，分辨率：1080p，型号：DS-E12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斜口钳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卡夫威尔，商品名称：卡夫威尔PC3788A，材质：碳钢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有线吸尘器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品牌：米家B205 有线 吸尘器吸力：≤100AW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机房移动工作台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品牌：思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珀睿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，型号：思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珀睿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P97，类别：推车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置物架层架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，层数：3层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机柜L架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品牌：格鲁特，长度：600mm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机柜L架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品牌：格鲁特，长度：710mm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机柜方孔卡式螺母拆装工具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轩之准，长度：100mm以上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绿联六类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接口RJ45 带屏蔽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班哲尼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28*28cm正方形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品牌：班哲尼洞洞板配件吸尘器主机转接件*1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吸尘器管夹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品牌：班哲尼洞洞板配件小挂钩7个装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品牌：班哲尼洞洞板配件绕线器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激光测距仪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杜克（DUKA）LSP 测距仪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电源转接线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品牌：同为，型号：TW-F-G10/C19，线芯规格：1.5平，长度：3米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品牌：山泽，型号：SZB-3030，长度：3米，性能等级：超六类网线，颜色：白色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品牌：山泽，型号：SZB-3100，长度：10米，性能等级：超六类网线，颜色：白色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品牌：山泽，型号：SZH-6030，长度：3米，性能等级：超六类网线，颜色：黑色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置物架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Y8 白色-5层-主架 轻型【150*40*200cm】130KG/层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蓝牙适配器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品牌：绿联，型号：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90225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转接头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品牌名称：奥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科，型号：AH-AC10-GY-BP，速率：10Gbps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透明胶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品牌：得力30369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除湿鼓风机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SupercloudSK-800B强力吹干机-带拉杆（蓝）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高速硬盘盒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麦沃，型号：K1695，类别：移动硬盘盒，速率：40Gpbs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DP-DP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10245 转换器：Mini DP转DP 类别：视频线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65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DP-HDMI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品牌： 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DP转HDMI转接头 4K高清DisplayPort转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转换器 台式机电脑显卡接电视转接线 DP转HDMI转换器</w:t>
            </w:r>
            <w:commentRangeStart w:id="1"/>
            <w:commentRange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DP转VGA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20415 DP转VGA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HDMI-HDMI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绿联（UGREEN） HDMI线1.5米*1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HDMI转VGA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品牌： 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CM270 HDMI转VGA 接口：HDMI/VGA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Type-C转HDMI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Type-C转HDMI线雷电3/4转换器USB-C转接头扩展拓展高清4K60/2K144Hz投屏适用C口笔记本电脑手机iPad平板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miniDP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转DP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品牌：山泽DPG-03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剪刀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品牌：得力6055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塑料周转箱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品牌：米奇特工 外尺寸615*420*150</w:t>
            </w:r>
            <w:r w:rsidRPr="002A7372">
              <w:rPr>
                <w:rStyle w:val="a3"/>
                <w:rFonts w:hint="eastAsia"/>
              </w:rPr>
              <w:t>mm</w:t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蓝色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小推车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品牌：村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田稻夫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GYP-WQ 手推平板车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拖把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品牌：佳帮手缝隙彩虹刮刮乐 刮刮乐拖把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有线吸尘器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品牌：米家B205 有线 吸尘器吸力：≤100AW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绿联六类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接口RJ45 带屏蔽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班哲尼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28*28cm正方形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品牌：班哲尼洞洞板配件吸尘器主机转接件*1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吸尘器管夹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品牌：班哲尼洞洞板配件小挂钩7个装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洞洞板配件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品牌：班哲尼洞洞板配件绕线器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激光测距仪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杜克（DUKA）LS-P 测距仪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置物架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Y8 白色-5层-主架 轻型【150*40*200cm】130KG/层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透明胶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品牌：得力30369，60mm*100y*50um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除湿鼓风机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品牌： SupercloudSK-800B强力吹干机-带拉杆（蓝）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10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电池对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一套为一对电池；单个电池为18500可充电锂电池，3.7V，2000mAh；两个电池加工为并联，但外观为串联的式样，最终成品为直径18mm，长度1000mm；总输出电压3.7v，容量4000mAh；最外面的正极带突头，适用于东莞可声KS-HD手持式红外麦克风。</w:t>
            </w:r>
            <w:r w:rsidR="00F136CB">
              <w:rPr>
                <w:rFonts w:ascii="宋体" w:hAnsi="宋体" w:cs="Arial"/>
                <w:kern w:val="0"/>
                <w:sz w:val="18"/>
                <w:szCs w:val="18"/>
              </w:rPr>
              <w:br/>
              <w:t>参考图片：</w:t>
            </w:r>
            <w:bookmarkStart w:id="2" w:name="_GoBack"/>
            <w:bookmarkEnd w:id="2"/>
          </w:p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2770" cy="1463040"/>
                  <wp:effectExtent l="0" t="0" r="0" b="3810"/>
                  <wp:docPr id="18" name="图片 18" descr="788effae11c4c3aff094fa2ffb297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788effae11c4c3aff094fa2ffb297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96265" cy="1438910"/>
                  <wp:effectExtent l="0" t="0" r="0" b="8890"/>
                  <wp:docPr id="17" name="图片 17" descr="68f87384861f87be60b0783c748b1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68f87384861f87be60b0783c748b1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9145" cy="1383665"/>
                  <wp:effectExtent l="0" t="0" r="1905" b="6985"/>
                  <wp:docPr id="16" name="图片 16" descr="efe4c3b2b4e3ee17b00bc9409561b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efe4c3b2b4e3ee17b00bc9409561b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65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Type-C扩展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Type-C扩展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USB-C拓展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坞分线器网线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转接头通用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iPadPro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苹果MacBook笔记本电脑华为HDMI雷电3转换器六合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Type-C数据线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Type-C数据线PD100W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充电线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双头c to c快充线 2米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USB扩展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USB3.0转千兆网口扩展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坞分线器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笔记本网线转接头有线网卡RJ45接口转换器 适用笔记本电脑台式机拓展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USB转Console线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Console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调试线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USB转RJ45控制线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配置线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适用思科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腾达华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为TP-LINK交换机路由器 【USB转Console线】黑色3米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USB转RS422线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USB转RS422 485转换器九针串口电脑com口通信线转接线 工业级FT232芯片 USB转RS485/422串口线 0.5m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USB转串口线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可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思未来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转串口线rs232转9针串口公头 PLC考勤机打印机com口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调试线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USB转串口1.2米KS-D-UZQ1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固态盘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联想（Lenovo）原装SSD固态硬盘M.2接口 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Nvme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Pcie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协议 M.2 2280 </w:t>
            </w:r>
            <w:proofErr w:type="spell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Nvme</w:t>
            </w:r>
            <w:proofErr w:type="spell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256G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手持无线话筒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山水 K41一拖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一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（充电款）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烟雾报警器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海康威视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HIKVISION烟雾报警器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火灾消防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探测器智能独立式光电感烟餐馆厨房火警探测器商用3c认证NP-Y1-S（10年续航）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硬盘盒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奥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睿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科(ORICO)硬盘柜硬盘盒多盘位3.5英寸USB3.0 SATA串口机械硬盘移动外置外接盒子存储柜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全铝5盘位9558U3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雷电数据线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绿联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Type-C雷电4数据线 双USB-C口5A公对公PD100W快充线 适用显示器扩展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坞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移动硬盘盒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苹果华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为笔记本 0.8米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存储卡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闪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迪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（SanDisk）256GB SD存储卡 U3 C10 V30 4K至尊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超极速版数码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相机内存卡 读速200MB/s 写速140MB/s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红外传感器套件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80系列,包含：（原装SHARP-2Y0A21</w:t>
            </w:r>
            <w:proofErr w:type="gramStart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红外测离传感器</w:t>
            </w:r>
            <w:proofErr w:type="gramEnd"/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、PCB板5*5、插线、螺电阻三极管）*1（螺丝、电容）*2，等元件  （支持定制）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  <w:t>参考图片：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31520" cy="572770"/>
                  <wp:effectExtent l="0" t="0" r="0" b="0"/>
                  <wp:docPr id="15" name="图片 15" descr="88aad345981708eb18a8fe7791e01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88aad345981708eb18a8fe7791e01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9770" cy="620395"/>
                  <wp:effectExtent l="0" t="0" r="5080" b="8255"/>
                  <wp:docPr id="14" name="图片 14" descr="60e46d2f7c936bd6e59630da1bf31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60e46d2f7c936bd6e59630da1bf31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RPr="002A7372" w:rsidTr="00375E74">
        <w:trPr>
          <w:trHeight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贴片练习套件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192" w:rsidRPr="002A7372" w:rsidRDefault="008F3192" w:rsidP="00375E74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300个贴片元件焊接测试套件高强度SMT，配PQFP44封装芯片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lastRenderedPageBreak/>
              <w:t>参考图片：</w:t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 w:rsidRPr="002A7372">
              <w:rPr>
                <w:rFonts w:ascii="宋体" w:hAnsi="宋体" w:cs="Arial"/>
                <w:kern w:val="0"/>
                <w:sz w:val="18"/>
                <w:szCs w:val="18"/>
              </w:rPr>
              <w:br/>
            </w: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</w:t>
            </w:r>
            <w:r w:rsidRPr="002A7372"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1410" cy="1081405"/>
                  <wp:effectExtent l="0" t="0" r="2540" b="4445"/>
                  <wp:docPr id="13" name="图片 13" descr="QQ浏览器截图20240520083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QQ浏览器截图20240520083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2" w:rsidRPr="002A737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F3192" w:rsidTr="00375E74">
        <w:trPr>
          <w:trHeight w:val="266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2" w:rsidRDefault="008F3192" w:rsidP="00375E74">
            <w:pPr>
              <w:widowControl/>
              <w:ind w:right="180"/>
              <w:jc w:val="righ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2A7372">
              <w:rPr>
                <w:rFonts w:ascii="宋体" w:hAnsi="宋体" w:cs="Arial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2" w:rsidRDefault="008F3192" w:rsidP="00375E7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</w:p>
        </w:tc>
      </w:tr>
    </w:tbl>
    <w:p w:rsidR="008F3192" w:rsidRDefault="008F3192"/>
    <w:p w:rsidR="008F3192" w:rsidRDefault="008F3192"/>
    <w:p w:rsidR="008F3192" w:rsidRDefault="008F3192">
      <w:pPr>
        <w:rPr>
          <w:rFonts w:hint="eastAsia"/>
        </w:rPr>
      </w:pPr>
    </w:p>
    <w:sectPr w:rsidR="008F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2"/>
    <w:rsid w:val="005D31B0"/>
    <w:rsid w:val="008F3192"/>
    <w:rsid w:val="00F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D30D7-01A8-4660-88D5-BD078258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F319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吴嘉昌</dc:creator>
  <cp:keywords/>
  <dc:description/>
  <cp:lastModifiedBy>吴嘉昌</cp:lastModifiedBy>
  <cp:revision>2</cp:revision>
  <dcterms:created xsi:type="dcterms:W3CDTF">2024-05-20T06:31:00Z</dcterms:created>
  <dcterms:modified xsi:type="dcterms:W3CDTF">2024-05-20T06:33:00Z</dcterms:modified>
</cp:coreProperties>
</file>